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1737"/>
        <w:gridCol w:w="3648"/>
      </w:tblGrid>
      <w:tr w:rsidR="00B9532B" w14:paraId="47E4CAEE" w14:textId="77777777" w:rsidTr="00A27EEA">
        <w:tc>
          <w:tcPr>
            <w:tcW w:w="3411" w:type="dxa"/>
          </w:tcPr>
          <w:p w14:paraId="44B7CAFD" w14:textId="0EACB524" w:rsidR="007E4683" w:rsidRDefault="00742B1B" w:rsidP="007E4683">
            <w:pPr>
              <w:jc w:val="center"/>
              <w:rPr>
                <w:rFonts w:cstheme="minorHAnsi"/>
                <w:sz w:val="28"/>
                <w:szCs w:val="28"/>
              </w:rPr>
            </w:pPr>
            <w:r>
              <w:rPr>
                <w:noProof/>
              </w:rPr>
              <w:t xml:space="preserve">                    </w:t>
            </w:r>
            <w:bookmarkStart w:id="0" w:name="_Hlk49782287"/>
            <w:bookmarkEnd w:id="0"/>
            <w:r w:rsidR="007E4683" w:rsidRPr="00604038">
              <w:rPr>
                <w:rFonts w:cstheme="minorHAnsi"/>
                <w:noProof/>
                <w:sz w:val="24"/>
                <w:szCs w:val="24"/>
              </w:rPr>
              <w:drawing>
                <wp:inline distT="0" distB="0" distL="0" distR="0" wp14:anchorId="1BDCBB46" wp14:editId="639B37A8">
                  <wp:extent cx="1897792" cy="361950"/>
                  <wp:effectExtent l="0" t="0" r="7620" b="0"/>
                  <wp:docPr id="1" name="Bilde 1" descr="Pensjonistforbundet-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sjonistforbundet-Off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6781" cy="369386"/>
                          </a:xfrm>
                          <a:prstGeom prst="rect">
                            <a:avLst/>
                          </a:prstGeom>
                          <a:noFill/>
                          <a:ln>
                            <a:noFill/>
                          </a:ln>
                        </pic:spPr>
                      </pic:pic>
                    </a:graphicData>
                  </a:graphic>
                </wp:inline>
              </w:drawing>
            </w:r>
          </w:p>
        </w:tc>
        <w:tc>
          <w:tcPr>
            <w:tcW w:w="1845" w:type="dxa"/>
          </w:tcPr>
          <w:p w14:paraId="59F314F7" w14:textId="12ADE1CD" w:rsidR="007E4683" w:rsidRDefault="00B9532B" w:rsidP="007E4683">
            <w:pPr>
              <w:jc w:val="center"/>
              <w:rPr>
                <w:rFonts w:cstheme="minorHAnsi"/>
                <w:sz w:val="28"/>
                <w:szCs w:val="28"/>
              </w:rPr>
            </w:pPr>
            <w:r>
              <w:rPr>
                <w:rFonts w:cstheme="minorHAnsi"/>
                <w:noProof/>
                <w:sz w:val="24"/>
                <w:szCs w:val="24"/>
              </w:rPr>
              <w:br/>
            </w:r>
            <w:r w:rsidR="007E4683" w:rsidRPr="00604038">
              <w:rPr>
                <w:rFonts w:cstheme="minorHAnsi"/>
                <w:noProof/>
                <w:sz w:val="24"/>
                <w:szCs w:val="24"/>
              </w:rPr>
              <w:drawing>
                <wp:inline distT="0" distB="0" distL="0" distR="0" wp14:anchorId="72699CEB" wp14:editId="58B5DDE1">
                  <wp:extent cx="1009650" cy="266732"/>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266732"/>
                          </a:xfrm>
                          <a:prstGeom prst="rect">
                            <a:avLst/>
                          </a:prstGeom>
                          <a:noFill/>
                          <a:ln>
                            <a:noFill/>
                          </a:ln>
                        </pic:spPr>
                      </pic:pic>
                    </a:graphicData>
                  </a:graphic>
                </wp:inline>
              </w:drawing>
            </w:r>
          </w:p>
        </w:tc>
        <w:tc>
          <w:tcPr>
            <w:tcW w:w="3805" w:type="dxa"/>
          </w:tcPr>
          <w:p w14:paraId="5D782564" w14:textId="6BAE7166" w:rsidR="007E4683" w:rsidRDefault="00B9532B" w:rsidP="007E4683">
            <w:pPr>
              <w:jc w:val="center"/>
              <w:rPr>
                <w:rFonts w:cstheme="minorHAnsi"/>
                <w:sz w:val="28"/>
                <w:szCs w:val="28"/>
              </w:rPr>
            </w:pPr>
            <w:r>
              <w:rPr>
                <w:rFonts w:cstheme="minorHAnsi"/>
                <w:sz w:val="28"/>
                <w:szCs w:val="28"/>
              </w:rPr>
              <w:br/>
            </w:r>
            <w:r>
              <w:rPr>
                <w:noProof/>
              </w:rPr>
              <w:drawing>
                <wp:inline distT="0" distB="0" distL="0" distR="0" wp14:anchorId="1E4139A3" wp14:editId="474CE520">
                  <wp:extent cx="2038350" cy="542925"/>
                  <wp:effectExtent l="0" t="0" r="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8350" cy="542925"/>
                          </a:xfrm>
                          <a:prstGeom prst="rect">
                            <a:avLst/>
                          </a:prstGeom>
                        </pic:spPr>
                      </pic:pic>
                    </a:graphicData>
                  </a:graphic>
                </wp:inline>
              </w:drawing>
            </w:r>
          </w:p>
        </w:tc>
      </w:tr>
      <w:tr w:rsidR="00B9532B" w14:paraId="36466F76" w14:textId="77777777" w:rsidTr="00A27EEA">
        <w:tc>
          <w:tcPr>
            <w:tcW w:w="3411" w:type="dxa"/>
          </w:tcPr>
          <w:p w14:paraId="2F49EDCB" w14:textId="10F7EDC3" w:rsidR="007E4683" w:rsidRDefault="007E4683" w:rsidP="007E4683">
            <w:pPr>
              <w:jc w:val="center"/>
              <w:rPr>
                <w:rFonts w:cstheme="minorHAnsi"/>
                <w:sz w:val="28"/>
                <w:szCs w:val="28"/>
              </w:rPr>
            </w:pPr>
            <w:r>
              <w:rPr>
                <w:rFonts w:cstheme="minorHAnsi"/>
                <w:sz w:val="28"/>
                <w:szCs w:val="28"/>
              </w:rPr>
              <w:br/>
            </w:r>
            <w:r w:rsidR="00B9532B">
              <w:rPr>
                <w:noProof/>
              </w:rPr>
              <w:drawing>
                <wp:inline distT="0" distB="0" distL="0" distR="0" wp14:anchorId="7A207D7F" wp14:editId="4B7B6DAB">
                  <wp:extent cx="2295525" cy="46609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31557" cy="473406"/>
                          </a:xfrm>
                          <a:prstGeom prst="rect">
                            <a:avLst/>
                          </a:prstGeom>
                        </pic:spPr>
                      </pic:pic>
                    </a:graphicData>
                  </a:graphic>
                </wp:inline>
              </w:drawing>
            </w:r>
          </w:p>
        </w:tc>
        <w:tc>
          <w:tcPr>
            <w:tcW w:w="1845" w:type="dxa"/>
          </w:tcPr>
          <w:p w14:paraId="42345CB6" w14:textId="4F069CDF" w:rsidR="007E4683" w:rsidRDefault="007E4683" w:rsidP="007E4683">
            <w:pPr>
              <w:jc w:val="center"/>
              <w:rPr>
                <w:rFonts w:cstheme="minorHAnsi"/>
                <w:sz w:val="28"/>
                <w:szCs w:val="28"/>
              </w:rPr>
            </w:pPr>
            <w:r>
              <w:rPr>
                <w:rFonts w:ascii="Verdana" w:hAnsi="Verdana"/>
                <w:noProof/>
              </w:rPr>
              <w:drawing>
                <wp:inline distT="0" distB="0" distL="0" distR="0" wp14:anchorId="4BBCEB15" wp14:editId="299356D4">
                  <wp:extent cx="628650" cy="8572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8650" cy="857250"/>
                          </a:xfrm>
                          <a:prstGeom prst="rect">
                            <a:avLst/>
                          </a:prstGeom>
                          <a:noFill/>
                          <a:ln>
                            <a:noFill/>
                          </a:ln>
                        </pic:spPr>
                      </pic:pic>
                    </a:graphicData>
                  </a:graphic>
                </wp:inline>
              </w:drawing>
            </w:r>
          </w:p>
        </w:tc>
        <w:tc>
          <w:tcPr>
            <w:tcW w:w="3805" w:type="dxa"/>
          </w:tcPr>
          <w:p w14:paraId="6DD59565" w14:textId="12217F7A" w:rsidR="007E4683" w:rsidRDefault="007E4683" w:rsidP="007E4683">
            <w:pPr>
              <w:jc w:val="center"/>
              <w:rPr>
                <w:rFonts w:cstheme="minorHAnsi"/>
                <w:sz w:val="28"/>
                <w:szCs w:val="28"/>
              </w:rPr>
            </w:pPr>
            <w:r>
              <w:rPr>
                <w:rFonts w:cstheme="minorHAnsi"/>
                <w:sz w:val="28"/>
                <w:szCs w:val="28"/>
              </w:rPr>
              <w:br/>
            </w:r>
            <w:r w:rsidR="00B9532B">
              <w:rPr>
                <w:noProof/>
              </w:rPr>
              <w:drawing>
                <wp:inline distT="0" distB="0" distL="0" distR="0" wp14:anchorId="2A2421A5" wp14:editId="472B84DE">
                  <wp:extent cx="1466850" cy="449742"/>
                  <wp:effectExtent l="0" t="0" r="0" b="762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8328" cy="453261"/>
                          </a:xfrm>
                          <a:prstGeom prst="rect">
                            <a:avLst/>
                          </a:prstGeom>
                        </pic:spPr>
                      </pic:pic>
                    </a:graphicData>
                  </a:graphic>
                </wp:inline>
              </w:drawing>
            </w:r>
          </w:p>
        </w:tc>
      </w:tr>
      <w:tr w:rsidR="00B9532B" w14:paraId="633692B6" w14:textId="77777777" w:rsidTr="00A27EEA">
        <w:trPr>
          <w:trHeight w:val="107"/>
        </w:trPr>
        <w:tc>
          <w:tcPr>
            <w:tcW w:w="3411" w:type="dxa"/>
          </w:tcPr>
          <w:p w14:paraId="7BA033CD" w14:textId="77777777" w:rsidR="00B9532B" w:rsidRPr="00A27EEA" w:rsidRDefault="00B9532B" w:rsidP="007E4683">
            <w:pPr>
              <w:jc w:val="center"/>
              <w:rPr>
                <w:rFonts w:cstheme="minorHAnsi"/>
                <w:sz w:val="6"/>
                <w:szCs w:val="6"/>
              </w:rPr>
            </w:pPr>
          </w:p>
        </w:tc>
        <w:tc>
          <w:tcPr>
            <w:tcW w:w="1845" w:type="dxa"/>
          </w:tcPr>
          <w:p w14:paraId="4BF031F6" w14:textId="77777777" w:rsidR="00B9532B" w:rsidRPr="00A27EEA" w:rsidRDefault="00B9532B" w:rsidP="007E4683">
            <w:pPr>
              <w:jc w:val="center"/>
              <w:rPr>
                <w:rFonts w:ascii="Verdana" w:hAnsi="Verdana"/>
                <w:noProof/>
                <w:sz w:val="6"/>
                <w:szCs w:val="6"/>
              </w:rPr>
            </w:pPr>
          </w:p>
        </w:tc>
        <w:tc>
          <w:tcPr>
            <w:tcW w:w="3805" w:type="dxa"/>
          </w:tcPr>
          <w:p w14:paraId="58B9992F" w14:textId="77777777" w:rsidR="00B9532B" w:rsidRPr="00A27EEA" w:rsidRDefault="00B9532B" w:rsidP="007E4683">
            <w:pPr>
              <w:jc w:val="center"/>
              <w:rPr>
                <w:rFonts w:cstheme="minorHAnsi"/>
                <w:sz w:val="6"/>
                <w:szCs w:val="6"/>
              </w:rPr>
            </w:pPr>
          </w:p>
        </w:tc>
      </w:tr>
      <w:tr w:rsidR="00B9532B" w14:paraId="72C4428B" w14:textId="77777777" w:rsidTr="00A27EEA">
        <w:tc>
          <w:tcPr>
            <w:tcW w:w="3411" w:type="dxa"/>
          </w:tcPr>
          <w:p w14:paraId="2DFE7551" w14:textId="77777777" w:rsidR="00510001" w:rsidRDefault="00B9532B" w:rsidP="007E4683">
            <w:pPr>
              <w:jc w:val="center"/>
              <w:rPr>
                <w:rFonts w:cstheme="minorHAnsi"/>
                <w:sz w:val="28"/>
                <w:szCs w:val="28"/>
              </w:rPr>
            </w:pPr>
            <w:r>
              <w:rPr>
                <w:rFonts w:cstheme="minorHAnsi"/>
                <w:sz w:val="28"/>
                <w:szCs w:val="28"/>
              </w:rPr>
              <w:br/>
            </w:r>
            <w:r w:rsidR="007E4683">
              <w:rPr>
                <w:noProof/>
              </w:rPr>
              <w:drawing>
                <wp:inline distT="0" distB="0" distL="0" distR="0" wp14:anchorId="44C5D089" wp14:editId="73DDECBC">
                  <wp:extent cx="2028825" cy="583215"/>
                  <wp:effectExtent l="0" t="0" r="0" b="762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65251" cy="593686"/>
                          </a:xfrm>
                          <a:prstGeom prst="rect">
                            <a:avLst/>
                          </a:prstGeom>
                        </pic:spPr>
                      </pic:pic>
                    </a:graphicData>
                  </a:graphic>
                </wp:inline>
              </w:drawing>
            </w:r>
          </w:p>
          <w:p w14:paraId="74124B23" w14:textId="77777777" w:rsidR="00510001" w:rsidRPr="00B01568" w:rsidRDefault="00510001" w:rsidP="007E4683">
            <w:pPr>
              <w:jc w:val="center"/>
              <w:rPr>
                <w:rFonts w:cstheme="minorHAnsi"/>
                <w:sz w:val="32"/>
                <w:szCs w:val="32"/>
              </w:rPr>
            </w:pPr>
          </w:p>
          <w:p w14:paraId="299F1CD8" w14:textId="15ABF714" w:rsidR="007E4683" w:rsidRDefault="00510001" w:rsidP="007E4683">
            <w:pPr>
              <w:jc w:val="center"/>
              <w:rPr>
                <w:rFonts w:cstheme="minorHAnsi"/>
                <w:sz w:val="28"/>
                <w:szCs w:val="28"/>
              </w:rPr>
            </w:pPr>
            <w:r w:rsidRPr="00B01568">
              <w:rPr>
                <w:rFonts w:cstheme="minorHAnsi"/>
                <w:sz w:val="32"/>
                <w:szCs w:val="32"/>
              </w:rPr>
              <w:t>LO -Stats kontaktutvalg for pensjonister</w:t>
            </w:r>
          </w:p>
        </w:tc>
        <w:tc>
          <w:tcPr>
            <w:tcW w:w="1845" w:type="dxa"/>
          </w:tcPr>
          <w:p w14:paraId="582250AD" w14:textId="798BAB85" w:rsidR="007E4683" w:rsidRDefault="007E4683" w:rsidP="007E4683">
            <w:pPr>
              <w:jc w:val="center"/>
              <w:rPr>
                <w:rFonts w:ascii="Verdana" w:hAnsi="Verdana"/>
                <w:noProof/>
              </w:rPr>
            </w:pPr>
          </w:p>
        </w:tc>
        <w:tc>
          <w:tcPr>
            <w:tcW w:w="3805" w:type="dxa"/>
          </w:tcPr>
          <w:p w14:paraId="377DDE41" w14:textId="5623ECED" w:rsidR="007E4683" w:rsidRDefault="00B9532B" w:rsidP="007E4683">
            <w:pPr>
              <w:jc w:val="center"/>
              <w:rPr>
                <w:rFonts w:cstheme="minorHAnsi"/>
                <w:sz w:val="28"/>
                <w:szCs w:val="28"/>
              </w:rPr>
            </w:pPr>
            <w:r>
              <w:rPr>
                <w:rFonts w:cstheme="minorHAnsi"/>
                <w:sz w:val="28"/>
                <w:szCs w:val="28"/>
              </w:rPr>
              <w:br/>
            </w:r>
            <w:r w:rsidR="007E4683">
              <w:rPr>
                <w:noProof/>
              </w:rPr>
              <w:drawing>
                <wp:inline distT="0" distB="0" distL="0" distR="0" wp14:anchorId="387CE856" wp14:editId="2AEA0801">
                  <wp:extent cx="2279090" cy="400003"/>
                  <wp:effectExtent l="0" t="0" r="0" b="63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75642" cy="416949"/>
                          </a:xfrm>
                          <a:prstGeom prst="rect">
                            <a:avLst/>
                          </a:prstGeom>
                        </pic:spPr>
                      </pic:pic>
                    </a:graphicData>
                  </a:graphic>
                </wp:inline>
              </w:drawing>
            </w:r>
          </w:p>
        </w:tc>
      </w:tr>
    </w:tbl>
    <w:p w14:paraId="6FDDBCFF" w14:textId="77777777" w:rsidR="007E4683" w:rsidRPr="000F4992" w:rsidRDefault="007E4683" w:rsidP="00691CFA">
      <w:pPr>
        <w:rPr>
          <w:rFonts w:cstheme="minorHAnsi"/>
          <w:sz w:val="28"/>
          <w:szCs w:val="28"/>
        </w:rPr>
      </w:pPr>
    </w:p>
    <w:p w14:paraId="64062440" w14:textId="77777777" w:rsidR="000F4992" w:rsidRDefault="000F4992" w:rsidP="00691CFA">
      <w:pPr>
        <w:rPr>
          <w:rFonts w:cstheme="minorHAnsi"/>
          <w:b/>
          <w:sz w:val="28"/>
          <w:szCs w:val="28"/>
        </w:rPr>
      </w:pPr>
    </w:p>
    <w:p w14:paraId="30B9289E" w14:textId="364E744B" w:rsidR="00691CFA" w:rsidRPr="000F4992" w:rsidRDefault="00691CFA" w:rsidP="007E4683">
      <w:pPr>
        <w:pStyle w:val="Tittel"/>
        <w:jc w:val="center"/>
      </w:pPr>
      <w:r w:rsidRPr="000F4992">
        <w:t>Krav til trygdeoppgjøret 202</w:t>
      </w:r>
      <w:r w:rsidR="007E4683">
        <w:t>3</w:t>
      </w:r>
    </w:p>
    <w:p w14:paraId="4A57F05E" w14:textId="77777777" w:rsidR="00691CFA" w:rsidRPr="000F4992" w:rsidRDefault="00691CFA" w:rsidP="00691CFA">
      <w:pPr>
        <w:rPr>
          <w:rFonts w:cstheme="minorHAnsi"/>
          <w:b/>
          <w:sz w:val="28"/>
          <w:szCs w:val="28"/>
        </w:rPr>
      </w:pPr>
    </w:p>
    <w:p w14:paraId="721DA87F" w14:textId="0CA9C4C5" w:rsidR="00A27EEA" w:rsidRDefault="00A27EEA" w:rsidP="00A27EEA">
      <w:pPr>
        <w:jc w:val="center"/>
        <w:rPr>
          <w:rFonts w:cstheme="minorHAnsi"/>
          <w:sz w:val="28"/>
          <w:szCs w:val="28"/>
        </w:rPr>
      </w:pPr>
      <w:r w:rsidRPr="00DD312A">
        <w:rPr>
          <w:rFonts w:cstheme="minorHAnsi"/>
          <w:b/>
          <w:bCs/>
          <w:sz w:val="28"/>
          <w:szCs w:val="28"/>
        </w:rPr>
        <w:t xml:space="preserve">Fra </w:t>
      </w:r>
      <w:r w:rsidR="00691CFA" w:rsidRPr="00DD312A">
        <w:rPr>
          <w:rFonts w:cstheme="minorHAnsi"/>
          <w:b/>
          <w:bCs/>
          <w:sz w:val="28"/>
          <w:szCs w:val="28"/>
        </w:rPr>
        <w:t>Pensjonistforbundet</w:t>
      </w:r>
      <w:r w:rsidRPr="00DD312A">
        <w:rPr>
          <w:rFonts w:cstheme="minorHAnsi"/>
          <w:b/>
          <w:bCs/>
          <w:sz w:val="28"/>
          <w:szCs w:val="28"/>
        </w:rPr>
        <w:t xml:space="preserve">, </w:t>
      </w:r>
      <w:r w:rsidR="00691CFA" w:rsidRPr="00DD312A">
        <w:rPr>
          <w:rFonts w:cstheme="minorHAnsi"/>
          <w:b/>
          <w:bCs/>
          <w:sz w:val="28"/>
          <w:szCs w:val="28"/>
        </w:rPr>
        <w:t>SAKO-samarbeidet</w:t>
      </w:r>
      <w:r w:rsidRPr="00DD312A">
        <w:rPr>
          <w:rFonts w:cstheme="minorHAnsi"/>
          <w:b/>
          <w:bCs/>
          <w:sz w:val="28"/>
          <w:szCs w:val="28"/>
        </w:rPr>
        <w:t xml:space="preserve"> og SAFO.</w:t>
      </w:r>
      <w:r>
        <w:rPr>
          <w:rFonts w:cstheme="minorHAnsi"/>
          <w:sz w:val="28"/>
          <w:szCs w:val="28"/>
        </w:rPr>
        <w:t xml:space="preserve"> </w:t>
      </w:r>
      <w:r>
        <w:rPr>
          <w:rFonts w:cstheme="minorHAnsi"/>
          <w:sz w:val="28"/>
          <w:szCs w:val="28"/>
        </w:rPr>
        <w:br/>
      </w:r>
      <w:r>
        <w:rPr>
          <w:rFonts w:cstheme="minorHAnsi"/>
          <w:sz w:val="28"/>
          <w:szCs w:val="28"/>
        </w:rPr>
        <w:br/>
        <w:t xml:space="preserve">SAKO består av: Fagforbundets sentrale pensjonistutvalg, </w:t>
      </w:r>
      <w:r w:rsidR="00ED4391">
        <w:rPr>
          <w:rFonts w:cstheme="minorHAnsi"/>
          <w:sz w:val="28"/>
          <w:szCs w:val="28"/>
        </w:rPr>
        <w:t xml:space="preserve">Telepensjonistene, Statens Vegvesens pensjonistforbund, </w:t>
      </w:r>
      <w:r w:rsidR="00705AE2">
        <w:rPr>
          <w:rFonts w:cstheme="minorHAnsi"/>
          <w:sz w:val="28"/>
          <w:szCs w:val="28"/>
        </w:rPr>
        <w:t xml:space="preserve">kontaktutvalget </w:t>
      </w:r>
      <w:r>
        <w:rPr>
          <w:rFonts w:cstheme="minorHAnsi"/>
          <w:sz w:val="28"/>
          <w:szCs w:val="28"/>
        </w:rPr>
        <w:t xml:space="preserve">for pensjonister i </w:t>
      </w:r>
      <w:r w:rsidR="00705AE2">
        <w:rPr>
          <w:rFonts w:cstheme="minorHAnsi"/>
          <w:sz w:val="28"/>
          <w:szCs w:val="28"/>
        </w:rPr>
        <w:t xml:space="preserve">LO-Stat, </w:t>
      </w:r>
      <w:r w:rsidR="00ED4391">
        <w:rPr>
          <w:rFonts w:cstheme="minorHAnsi"/>
          <w:sz w:val="28"/>
          <w:szCs w:val="28"/>
        </w:rPr>
        <w:t>Politiets pensjonistforbund, Jernbanepensjonistene</w:t>
      </w:r>
      <w:r w:rsidR="00705AE2">
        <w:rPr>
          <w:rFonts w:cstheme="minorHAnsi"/>
          <w:sz w:val="28"/>
          <w:szCs w:val="28"/>
        </w:rPr>
        <w:t>s forbund</w:t>
      </w:r>
      <w:r>
        <w:rPr>
          <w:rFonts w:cstheme="minorHAnsi"/>
          <w:sz w:val="28"/>
          <w:szCs w:val="28"/>
        </w:rPr>
        <w:t xml:space="preserve"> og </w:t>
      </w:r>
      <w:r>
        <w:rPr>
          <w:rFonts w:cstheme="minorHAnsi"/>
          <w:sz w:val="28"/>
          <w:szCs w:val="28"/>
        </w:rPr>
        <w:br/>
      </w:r>
      <w:r w:rsidR="00705AE2">
        <w:rPr>
          <w:rFonts w:cstheme="minorHAnsi"/>
          <w:sz w:val="28"/>
          <w:szCs w:val="28"/>
        </w:rPr>
        <w:t>Postens Pensjonistforbund</w:t>
      </w:r>
      <w:r>
        <w:rPr>
          <w:rFonts w:cstheme="minorHAnsi"/>
          <w:sz w:val="28"/>
          <w:szCs w:val="28"/>
        </w:rPr>
        <w:t>.</w:t>
      </w:r>
    </w:p>
    <w:p w14:paraId="67EE61A7" w14:textId="45A7BB88" w:rsidR="00A27EEA" w:rsidRDefault="00A27EEA" w:rsidP="00A27EEA">
      <w:pPr>
        <w:jc w:val="center"/>
        <w:rPr>
          <w:rFonts w:cstheme="minorHAnsi"/>
          <w:sz w:val="28"/>
          <w:szCs w:val="28"/>
        </w:rPr>
      </w:pPr>
      <w:r>
        <w:rPr>
          <w:rFonts w:cstheme="minorHAnsi"/>
          <w:sz w:val="28"/>
          <w:szCs w:val="28"/>
        </w:rPr>
        <w:t>SAFO består av: Norges Handikapforbund, Norsk Forbund for Utviklingshemmede og Foreningen Norges Døvblinde</w:t>
      </w:r>
    </w:p>
    <w:p w14:paraId="4E739395" w14:textId="6C7BA084" w:rsidR="00604038" w:rsidRPr="000F4992" w:rsidRDefault="00A27EEA" w:rsidP="003C4A0C">
      <w:pPr>
        <w:jc w:val="center"/>
        <w:rPr>
          <w:rFonts w:cstheme="minorHAnsi"/>
          <w:sz w:val="28"/>
          <w:szCs w:val="28"/>
        </w:rPr>
      </w:pPr>
      <w:r>
        <w:rPr>
          <w:rFonts w:cstheme="minorHAnsi"/>
          <w:sz w:val="28"/>
          <w:szCs w:val="28"/>
        </w:rPr>
        <w:t>Sammen</w:t>
      </w:r>
      <w:r w:rsidR="00691CFA" w:rsidRPr="000F4992">
        <w:rPr>
          <w:rFonts w:cstheme="minorHAnsi"/>
          <w:sz w:val="28"/>
          <w:szCs w:val="28"/>
        </w:rPr>
        <w:t xml:space="preserve"> representerer </w:t>
      </w:r>
      <w:r>
        <w:rPr>
          <w:rFonts w:cstheme="minorHAnsi"/>
          <w:sz w:val="28"/>
          <w:szCs w:val="28"/>
        </w:rPr>
        <w:t xml:space="preserve">vi </w:t>
      </w:r>
      <w:r w:rsidR="00691CFA" w:rsidRPr="000F4992">
        <w:rPr>
          <w:rFonts w:cstheme="minorHAnsi"/>
          <w:sz w:val="28"/>
          <w:szCs w:val="28"/>
        </w:rPr>
        <w:t>2</w:t>
      </w:r>
      <w:r w:rsidR="00802163">
        <w:rPr>
          <w:rFonts w:cstheme="minorHAnsi"/>
          <w:sz w:val="28"/>
          <w:szCs w:val="28"/>
        </w:rPr>
        <w:t>90</w:t>
      </w:r>
      <w:r w:rsidR="00691CFA" w:rsidRPr="000F4992">
        <w:rPr>
          <w:rFonts w:cstheme="minorHAnsi"/>
          <w:sz w:val="28"/>
          <w:szCs w:val="28"/>
        </w:rPr>
        <w:t xml:space="preserve"> 000 medlemmer, og leverer </w:t>
      </w:r>
      <w:r w:rsidR="007152E3" w:rsidRPr="000F4992">
        <w:rPr>
          <w:rFonts w:cstheme="minorHAnsi"/>
          <w:sz w:val="28"/>
          <w:szCs w:val="28"/>
        </w:rPr>
        <w:t>med dette</w:t>
      </w:r>
      <w:r w:rsidR="00691CFA" w:rsidRPr="000F4992">
        <w:rPr>
          <w:rFonts w:cstheme="minorHAnsi"/>
          <w:sz w:val="28"/>
          <w:szCs w:val="28"/>
        </w:rPr>
        <w:t xml:space="preserve"> krav til trygdeoppgjøret 202</w:t>
      </w:r>
      <w:r>
        <w:rPr>
          <w:rFonts w:cstheme="minorHAnsi"/>
          <w:sz w:val="28"/>
          <w:szCs w:val="28"/>
        </w:rPr>
        <w:t>3</w:t>
      </w:r>
      <w:r w:rsidR="00691CFA" w:rsidRPr="000F4992">
        <w:rPr>
          <w:rFonts w:cstheme="minorHAnsi"/>
          <w:sz w:val="28"/>
          <w:szCs w:val="28"/>
        </w:rPr>
        <w:t>.</w:t>
      </w:r>
    </w:p>
    <w:p w14:paraId="4E6921D1" w14:textId="42F19591" w:rsidR="00691CFA" w:rsidRPr="000F4992" w:rsidRDefault="00691CFA" w:rsidP="00691CFA">
      <w:pPr>
        <w:rPr>
          <w:rFonts w:cstheme="minorHAnsi"/>
          <w:sz w:val="28"/>
          <w:szCs w:val="28"/>
        </w:rPr>
      </w:pPr>
    </w:p>
    <w:p w14:paraId="1B1B1E50" w14:textId="0A632878" w:rsidR="007E4683" w:rsidRPr="009F599F" w:rsidRDefault="007E4683" w:rsidP="00A27EEA">
      <w:pPr>
        <w:jc w:val="center"/>
        <w:rPr>
          <w:rFonts w:cstheme="minorHAnsi"/>
          <w:b/>
          <w:bCs/>
          <w:sz w:val="28"/>
          <w:szCs w:val="28"/>
          <w:u w:val="single"/>
        </w:rPr>
      </w:pPr>
      <w:r w:rsidRPr="009F599F">
        <w:rPr>
          <w:rFonts w:cstheme="minorHAnsi"/>
          <w:b/>
          <w:bCs/>
          <w:sz w:val="28"/>
          <w:szCs w:val="28"/>
        </w:rPr>
        <w:t>Oslo, 15. mai 2023</w:t>
      </w:r>
    </w:p>
    <w:p w14:paraId="517069C1" w14:textId="41E72539" w:rsidR="00DB77EE" w:rsidRDefault="007E4683" w:rsidP="00691CFA">
      <w:pPr>
        <w:rPr>
          <w:rFonts w:cstheme="minorHAnsi"/>
          <w:b/>
          <w:sz w:val="28"/>
          <w:szCs w:val="28"/>
          <w:u w:val="single"/>
        </w:rPr>
      </w:pPr>
      <w:r>
        <w:rPr>
          <w:rFonts w:cstheme="minorHAnsi"/>
          <w:b/>
          <w:bCs/>
          <w:sz w:val="28"/>
          <w:szCs w:val="28"/>
          <w:u w:val="single"/>
        </w:rPr>
        <w:br w:type="page"/>
      </w:r>
      <w:r w:rsidR="00A054E6">
        <w:rPr>
          <w:rFonts w:cstheme="minorHAnsi"/>
          <w:b/>
          <w:sz w:val="28"/>
          <w:szCs w:val="28"/>
          <w:u w:val="single"/>
        </w:rPr>
        <w:lastRenderedPageBreak/>
        <w:t>Økning av pensjonene</w:t>
      </w:r>
    </w:p>
    <w:p w14:paraId="393AF136" w14:textId="450A8618" w:rsidR="00FF52BC" w:rsidRDefault="00986598" w:rsidP="00691CFA">
      <w:pPr>
        <w:rPr>
          <w:rFonts w:cstheme="minorHAnsi"/>
        </w:rPr>
      </w:pPr>
      <w:r w:rsidRPr="00DD312A">
        <w:rPr>
          <w:rFonts w:cstheme="minorHAnsi"/>
        </w:rPr>
        <w:t xml:space="preserve">Vårt primære mål er at </w:t>
      </w:r>
      <w:r>
        <w:rPr>
          <w:rFonts w:cstheme="minorHAnsi"/>
        </w:rPr>
        <w:t xml:space="preserve">reguleringen av </w:t>
      </w:r>
      <w:r w:rsidRPr="00DD312A">
        <w:rPr>
          <w:rFonts w:cstheme="minorHAnsi"/>
        </w:rPr>
        <w:t xml:space="preserve">løpende pensjon og </w:t>
      </w:r>
      <w:r w:rsidR="002E6EB7">
        <w:rPr>
          <w:rFonts w:cstheme="minorHAnsi"/>
        </w:rPr>
        <w:t>uføre</w:t>
      </w:r>
      <w:r w:rsidRPr="00DD312A">
        <w:rPr>
          <w:rFonts w:cstheme="minorHAnsi"/>
        </w:rPr>
        <w:t>trygd skal være gjenstand for reelle forhandlinger med en ramme om lag lik lønnsveksten</w:t>
      </w:r>
      <w:r>
        <w:rPr>
          <w:rFonts w:cstheme="minorHAnsi"/>
        </w:rPr>
        <w:t>, se nærmere om dette i kravene nedenfor</w:t>
      </w:r>
      <w:r w:rsidRPr="00DD312A">
        <w:rPr>
          <w:rFonts w:cstheme="minorHAnsi"/>
        </w:rPr>
        <w:t>.</w:t>
      </w:r>
      <w:r>
        <w:rPr>
          <w:rFonts w:cstheme="minorHAnsi"/>
        </w:rPr>
        <w:t xml:space="preserve"> </w:t>
      </w:r>
    </w:p>
    <w:p w14:paraId="4EA8CC34" w14:textId="444FBFBD" w:rsidR="00FF52BC" w:rsidRDefault="00986598" w:rsidP="00691CFA">
      <w:pPr>
        <w:rPr>
          <w:rFonts w:cstheme="minorHAnsi"/>
        </w:rPr>
      </w:pPr>
      <w:r>
        <w:rPr>
          <w:rFonts w:cstheme="minorHAnsi"/>
        </w:rPr>
        <w:t xml:space="preserve">Vi viser imidlertid til at Pensjonistforbundet i samarbeid med SV og FrP ble enige om flere forslag til forbedringer for </w:t>
      </w:r>
      <w:r w:rsidR="00060EB0">
        <w:rPr>
          <w:rFonts w:cstheme="minorHAnsi"/>
        </w:rPr>
        <w:t>alders</w:t>
      </w:r>
      <w:r>
        <w:rPr>
          <w:rFonts w:cstheme="minorHAnsi"/>
        </w:rPr>
        <w:t>pensjonistene i 2020. Et av forslagene var å endre den daværende pensjonsreguleringen lik lønnsvekst fratrukket 0,75 prosent, til å følge gjennomsnittet av lønns- og prisveksten</w:t>
      </w:r>
      <w:r w:rsidR="00A41135">
        <w:rPr>
          <w:rFonts w:cstheme="minorHAnsi"/>
        </w:rPr>
        <w:t xml:space="preserve"> i tråd med Arbeiderpartiets forslag</w:t>
      </w:r>
      <w:r>
        <w:rPr>
          <w:rFonts w:cstheme="minorHAnsi"/>
        </w:rPr>
        <w:t>. Stortinget</w:t>
      </w:r>
      <w:r w:rsidR="00490A2E">
        <w:rPr>
          <w:rFonts w:cstheme="minorHAnsi"/>
        </w:rPr>
        <w:t xml:space="preserve">s flertall </w:t>
      </w:r>
      <w:r>
        <w:rPr>
          <w:rFonts w:cstheme="minorHAnsi"/>
        </w:rPr>
        <w:t>vedtok denne endringen. Det har vist seg å gi e</w:t>
      </w:r>
      <w:r w:rsidR="00490A2E">
        <w:rPr>
          <w:rFonts w:cstheme="minorHAnsi"/>
        </w:rPr>
        <w:t xml:space="preserve">t bedre resultat for pensjonistene i 2021 og 2022, </w:t>
      </w:r>
      <w:r>
        <w:rPr>
          <w:rFonts w:cstheme="minorHAnsi"/>
        </w:rPr>
        <w:t>enn hva den gamle reguleringsmetoden ville gitt</w:t>
      </w:r>
      <w:r w:rsidR="00490A2E">
        <w:rPr>
          <w:rFonts w:cstheme="minorHAnsi"/>
        </w:rPr>
        <w:t>, og det vil også gi et betydelig bedre resultat i 2023</w:t>
      </w:r>
      <w:r>
        <w:rPr>
          <w:rFonts w:cstheme="minorHAnsi"/>
        </w:rPr>
        <w:t xml:space="preserve">. </w:t>
      </w:r>
    </w:p>
    <w:p w14:paraId="74FB9F4F" w14:textId="2E21FDEF" w:rsidR="00DB77EE" w:rsidRDefault="00490A2E" w:rsidP="00691CFA">
      <w:pPr>
        <w:rPr>
          <w:rFonts w:cstheme="minorHAnsi"/>
        </w:rPr>
      </w:pPr>
      <w:r>
        <w:rPr>
          <w:rFonts w:cstheme="minorHAnsi"/>
        </w:rPr>
        <w:t xml:space="preserve">I </w:t>
      </w:r>
      <w:r w:rsidR="00DB77EE">
        <w:rPr>
          <w:rFonts w:cstheme="minorHAnsi"/>
        </w:rPr>
        <w:t xml:space="preserve">beregningen av </w:t>
      </w:r>
      <w:r>
        <w:rPr>
          <w:rFonts w:cstheme="minorHAnsi"/>
        </w:rPr>
        <w:t xml:space="preserve">gjennomsnittet av lønns- og prisveksten skal det </w:t>
      </w:r>
      <w:r w:rsidR="00DB77EE">
        <w:rPr>
          <w:rFonts w:cstheme="minorHAnsi"/>
        </w:rPr>
        <w:t xml:space="preserve">korrigeres for avvik mellom anslått og faktisk lønnsvekst siste to år, samt avvik mellom anslått og faktisk prisvekst forrige år. </w:t>
      </w:r>
      <w:r w:rsidR="000F272A">
        <w:rPr>
          <w:rFonts w:cstheme="minorHAnsi"/>
        </w:rPr>
        <w:t>Vi viser til revidert budsjett 2023 og regjeringens anslag for lønnsvekst og prisvekst i inneværende år, på henholdsvis 5,2</w:t>
      </w:r>
      <w:r w:rsidR="001D1AB2">
        <w:rPr>
          <w:rFonts w:cstheme="minorHAnsi"/>
        </w:rPr>
        <w:t>5</w:t>
      </w:r>
      <w:r w:rsidR="000F272A">
        <w:rPr>
          <w:rFonts w:cstheme="minorHAnsi"/>
        </w:rPr>
        <w:t xml:space="preserve"> og 5,</w:t>
      </w:r>
      <w:r w:rsidR="001D1AB2">
        <w:rPr>
          <w:rFonts w:cstheme="minorHAnsi"/>
        </w:rPr>
        <w:t>4</w:t>
      </w:r>
      <w:r w:rsidR="000F272A">
        <w:rPr>
          <w:rFonts w:cstheme="minorHAnsi"/>
        </w:rPr>
        <w:t xml:space="preserve"> prosent. </w:t>
      </w:r>
      <w:r w:rsidR="000E49C7">
        <w:rPr>
          <w:rFonts w:cstheme="minorHAnsi"/>
        </w:rPr>
        <w:t xml:space="preserve">Vi viser videre til avviket på 0,6 prosentpoeng mellom anslått lønnsvekst for 2022 på 3,7 prosent, og faktisk lønnsvekst på 4,3 prosent. Og avviket på 2,4 prosentpoeng mellom anslått prisvekst </w:t>
      </w:r>
      <w:r w:rsidR="001D1AB2">
        <w:rPr>
          <w:rFonts w:cstheme="minorHAnsi"/>
        </w:rPr>
        <w:t xml:space="preserve">for 2022 </w:t>
      </w:r>
      <w:r w:rsidR="000E49C7">
        <w:rPr>
          <w:rFonts w:cstheme="minorHAnsi"/>
        </w:rPr>
        <w:t>på 3,4 prosent, og faktisk prisvekst på 5,8 prosent. Den korrigerte lønnsveksten for 2023 er dermed 5,8</w:t>
      </w:r>
      <w:r w:rsidR="001D1AB2">
        <w:rPr>
          <w:rFonts w:cstheme="minorHAnsi"/>
        </w:rPr>
        <w:t>8</w:t>
      </w:r>
      <w:r w:rsidR="000E49C7">
        <w:rPr>
          <w:rFonts w:cstheme="minorHAnsi"/>
        </w:rPr>
        <w:t xml:space="preserve"> prosent, og prisveksten er 7,</w:t>
      </w:r>
      <w:r w:rsidR="001D1AB2">
        <w:rPr>
          <w:rFonts w:cstheme="minorHAnsi"/>
        </w:rPr>
        <w:t>93</w:t>
      </w:r>
      <w:r w:rsidR="000E49C7">
        <w:rPr>
          <w:rFonts w:cstheme="minorHAnsi"/>
        </w:rPr>
        <w:t xml:space="preserve"> prosent. Gjennomsnittet av korrigert lønns- og prisvekst blir 6,</w:t>
      </w:r>
      <w:r w:rsidR="001D1AB2">
        <w:rPr>
          <w:rFonts w:cstheme="minorHAnsi"/>
        </w:rPr>
        <w:t>91</w:t>
      </w:r>
      <w:r w:rsidR="000E49C7">
        <w:rPr>
          <w:rFonts w:cstheme="minorHAnsi"/>
        </w:rPr>
        <w:t xml:space="preserve"> prosent. </w:t>
      </w:r>
      <w:bookmarkStart w:id="1" w:name="_Hlk134963775"/>
      <w:r w:rsidR="000E49C7">
        <w:rPr>
          <w:rFonts w:cstheme="minorHAnsi"/>
        </w:rPr>
        <w:t>For å oppnå en årsvekst i 2023 på 6,</w:t>
      </w:r>
      <w:r w:rsidR="001D1AB2">
        <w:rPr>
          <w:rFonts w:cstheme="minorHAnsi"/>
        </w:rPr>
        <w:t>91</w:t>
      </w:r>
      <w:r w:rsidR="000E49C7">
        <w:rPr>
          <w:rFonts w:cstheme="minorHAnsi"/>
        </w:rPr>
        <w:t xml:space="preserve"> prosent må </w:t>
      </w:r>
      <w:r w:rsidR="00060EB0">
        <w:rPr>
          <w:rFonts w:cstheme="minorHAnsi"/>
        </w:rPr>
        <w:t>alders</w:t>
      </w:r>
      <w:r w:rsidR="000E49C7">
        <w:rPr>
          <w:rFonts w:cstheme="minorHAnsi"/>
        </w:rPr>
        <w:t>pensjon under utbetaling oppreguleres med 8,</w:t>
      </w:r>
      <w:r w:rsidR="001D1AB2">
        <w:rPr>
          <w:rFonts w:cstheme="minorHAnsi"/>
        </w:rPr>
        <w:t>54</w:t>
      </w:r>
      <w:r w:rsidR="000E49C7">
        <w:rPr>
          <w:rFonts w:cstheme="minorHAnsi"/>
        </w:rPr>
        <w:t xml:space="preserve"> prosent med virkning fra 1. mai 2023.</w:t>
      </w:r>
      <w:r w:rsidR="00060EB0">
        <w:rPr>
          <w:rFonts w:cstheme="minorHAnsi"/>
        </w:rPr>
        <w:t xml:space="preserve"> Vi viser i </w:t>
      </w:r>
      <w:bookmarkEnd w:id="1"/>
      <w:r w:rsidR="008D657A">
        <w:rPr>
          <w:rFonts w:cstheme="minorHAnsi"/>
        </w:rPr>
        <w:t>tillegg til krav om kompensasjon for etterslepet fra 2021</w:t>
      </w:r>
      <w:r w:rsidR="00FF52BC">
        <w:rPr>
          <w:rFonts w:cstheme="minorHAnsi"/>
        </w:rPr>
        <w:t xml:space="preserve"> på 0,55 prosentpoeng</w:t>
      </w:r>
      <w:r w:rsidR="00BE6DFE">
        <w:rPr>
          <w:rFonts w:cstheme="minorHAnsi"/>
        </w:rPr>
        <w:t xml:space="preserve"> </w:t>
      </w:r>
      <w:r w:rsidR="00A41135">
        <w:rPr>
          <w:rFonts w:cstheme="minorHAnsi"/>
        </w:rPr>
        <w:t>og krav om</w:t>
      </w:r>
      <w:r w:rsidR="00A54919">
        <w:rPr>
          <w:rFonts w:cstheme="minorHAnsi"/>
        </w:rPr>
        <w:t xml:space="preserve"> et løft </w:t>
      </w:r>
      <w:r w:rsidR="00F32E36">
        <w:rPr>
          <w:rFonts w:cstheme="minorHAnsi"/>
        </w:rPr>
        <w:t>av</w:t>
      </w:r>
      <w:r w:rsidR="00A54919">
        <w:rPr>
          <w:rFonts w:cstheme="minorHAnsi"/>
        </w:rPr>
        <w:t xml:space="preserve"> de laveste pensjonene.</w:t>
      </w:r>
      <w:r w:rsidR="00A41135">
        <w:rPr>
          <w:rFonts w:cstheme="minorHAnsi"/>
        </w:rPr>
        <w:t xml:space="preserve"> </w:t>
      </w:r>
    </w:p>
    <w:p w14:paraId="7FC49361" w14:textId="15649762" w:rsidR="00060EB0" w:rsidRDefault="00060EB0" w:rsidP="00691CFA">
      <w:pPr>
        <w:rPr>
          <w:rFonts w:cstheme="minorHAnsi"/>
        </w:rPr>
      </w:pPr>
      <w:r>
        <w:rPr>
          <w:rFonts w:cstheme="minorHAnsi"/>
        </w:rPr>
        <w:t>Uføretrygden fra NAV reguleres ikke etter samme metode som for alderspensjonistene. Her er det lønnsveksten som legger rammene for reguleringen</w:t>
      </w:r>
      <w:r w:rsidR="0097351F">
        <w:rPr>
          <w:rFonts w:cstheme="minorHAnsi"/>
        </w:rPr>
        <w:t>. Som beskrevet over</w:t>
      </w:r>
      <w:r w:rsidR="00184C16">
        <w:rPr>
          <w:rFonts w:cstheme="minorHAnsi"/>
        </w:rPr>
        <w:t>,</w:t>
      </w:r>
      <w:r w:rsidR="0097351F">
        <w:rPr>
          <w:rFonts w:cstheme="minorHAnsi"/>
        </w:rPr>
        <w:t xml:space="preserve"> er </w:t>
      </w:r>
      <w:r>
        <w:rPr>
          <w:rFonts w:cstheme="minorHAnsi"/>
        </w:rPr>
        <w:t xml:space="preserve">den korrigerte lønnsveksten for 2023, på 5,88 %. Det innebærer at </w:t>
      </w:r>
      <w:r w:rsidR="0097351F">
        <w:rPr>
          <w:rFonts w:cstheme="minorHAnsi"/>
        </w:rPr>
        <w:t>reguleringen av uføretrygd under utbetaling</w:t>
      </w:r>
      <w:r>
        <w:rPr>
          <w:rFonts w:cstheme="minorHAnsi"/>
        </w:rPr>
        <w:t xml:space="preserve">, for å oppnå en årsvekst i 2023 på 5,88 %, må </w:t>
      </w:r>
      <w:r w:rsidR="0097351F">
        <w:rPr>
          <w:rFonts w:cstheme="minorHAnsi"/>
        </w:rPr>
        <w:t xml:space="preserve">oppjusteres med 6,41 prosent </w:t>
      </w:r>
      <w:r w:rsidR="00802163">
        <w:rPr>
          <w:rFonts w:cstheme="minorHAnsi"/>
        </w:rPr>
        <w:t>fra 1. mai</w:t>
      </w:r>
      <w:r w:rsidR="0097351F">
        <w:rPr>
          <w:rFonts w:cstheme="minorHAnsi"/>
        </w:rPr>
        <w:t>.</w:t>
      </w:r>
    </w:p>
    <w:p w14:paraId="08570B21" w14:textId="77777777" w:rsidR="0097351F" w:rsidRDefault="0097351F" w:rsidP="00691CFA">
      <w:pPr>
        <w:rPr>
          <w:rFonts w:cstheme="minorHAnsi"/>
          <w:b/>
          <w:sz w:val="28"/>
          <w:szCs w:val="28"/>
          <w:u w:val="single"/>
        </w:rPr>
      </w:pPr>
    </w:p>
    <w:p w14:paraId="4CF4B745" w14:textId="19A920AB" w:rsidR="00811066" w:rsidRPr="008B202C" w:rsidRDefault="00C84E52" w:rsidP="00691CFA">
      <w:pPr>
        <w:rPr>
          <w:rFonts w:cstheme="minorHAnsi"/>
          <w:bCs/>
          <w:sz w:val="28"/>
          <w:szCs w:val="28"/>
          <w:u w:val="single"/>
        </w:rPr>
      </w:pPr>
      <w:r w:rsidRPr="008B202C">
        <w:rPr>
          <w:rFonts w:cstheme="minorHAnsi"/>
          <w:b/>
          <w:sz w:val="28"/>
          <w:szCs w:val="28"/>
          <w:u w:val="single"/>
        </w:rPr>
        <w:t>Forhandlingsretten må gjeninnføres</w:t>
      </w:r>
      <w:r w:rsidR="00811066" w:rsidRPr="008B202C">
        <w:rPr>
          <w:rFonts w:cstheme="minorHAnsi"/>
          <w:bCs/>
          <w:sz w:val="28"/>
          <w:szCs w:val="28"/>
          <w:u w:val="single"/>
        </w:rPr>
        <w:t xml:space="preserve"> </w:t>
      </w:r>
    </w:p>
    <w:p w14:paraId="2FA7BDAC" w14:textId="5CDDCF8E" w:rsidR="003218F4" w:rsidRPr="00DD312A" w:rsidRDefault="00317AFE" w:rsidP="00691CFA">
      <w:pPr>
        <w:rPr>
          <w:rFonts w:cstheme="minorHAnsi"/>
        </w:rPr>
      </w:pPr>
      <w:r w:rsidRPr="00DD312A">
        <w:rPr>
          <w:rFonts w:cstheme="minorHAnsi"/>
        </w:rPr>
        <w:t>Vårt</w:t>
      </w:r>
      <w:r w:rsidR="007152E3" w:rsidRPr="00DD312A">
        <w:rPr>
          <w:rFonts w:cstheme="minorHAnsi"/>
        </w:rPr>
        <w:t xml:space="preserve"> </w:t>
      </w:r>
      <w:r w:rsidR="003218F4" w:rsidRPr="00DD312A">
        <w:rPr>
          <w:rFonts w:cstheme="minorHAnsi"/>
        </w:rPr>
        <w:t>primære mål</w:t>
      </w:r>
      <w:r w:rsidR="007152E3" w:rsidRPr="00DD312A">
        <w:rPr>
          <w:rFonts w:cstheme="minorHAnsi"/>
        </w:rPr>
        <w:t xml:space="preserve"> er </w:t>
      </w:r>
      <w:r w:rsidR="00DA292E" w:rsidRPr="00DD312A">
        <w:rPr>
          <w:rFonts w:cstheme="minorHAnsi"/>
        </w:rPr>
        <w:t xml:space="preserve">at </w:t>
      </w:r>
      <w:r w:rsidR="00986598">
        <w:rPr>
          <w:rFonts w:cstheme="minorHAnsi"/>
        </w:rPr>
        <w:t xml:space="preserve">reguleringen av </w:t>
      </w:r>
      <w:r w:rsidR="007152E3" w:rsidRPr="00DD312A">
        <w:rPr>
          <w:rFonts w:cstheme="minorHAnsi"/>
        </w:rPr>
        <w:t>løpende pensjon</w:t>
      </w:r>
      <w:r w:rsidR="00206CCD" w:rsidRPr="00DD312A">
        <w:rPr>
          <w:rFonts w:cstheme="minorHAnsi"/>
        </w:rPr>
        <w:t xml:space="preserve"> og </w:t>
      </w:r>
      <w:r w:rsidR="0097351F">
        <w:rPr>
          <w:rFonts w:cstheme="minorHAnsi"/>
        </w:rPr>
        <w:t>uføre</w:t>
      </w:r>
      <w:r w:rsidR="00206CCD" w:rsidRPr="00DD312A">
        <w:rPr>
          <w:rFonts w:cstheme="minorHAnsi"/>
        </w:rPr>
        <w:t>trygd</w:t>
      </w:r>
      <w:r w:rsidR="007152E3" w:rsidRPr="00DD312A">
        <w:rPr>
          <w:rFonts w:cstheme="minorHAnsi"/>
        </w:rPr>
        <w:t xml:space="preserve"> skal være gjenstand for reelle forhandlinger med en ramme om lag lik lønnsveksten. </w:t>
      </w:r>
      <w:r w:rsidR="00DA292E" w:rsidRPr="00DD312A">
        <w:rPr>
          <w:rFonts w:cstheme="minorHAnsi"/>
        </w:rPr>
        <w:t xml:space="preserve">Det er et viktig demokratisk prinsipp at landets </w:t>
      </w:r>
      <w:r w:rsidR="00FB726B">
        <w:rPr>
          <w:rFonts w:cstheme="minorHAnsi"/>
        </w:rPr>
        <w:t>om lag</w:t>
      </w:r>
      <w:r w:rsidR="00DA292E" w:rsidRPr="00DD312A">
        <w:rPr>
          <w:rFonts w:cstheme="minorHAnsi"/>
        </w:rPr>
        <w:t xml:space="preserve"> 1,</w:t>
      </w:r>
      <w:r w:rsidR="00FB726B">
        <w:rPr>
          <w:rFonts w:cstheme="minorHAnsi"/>
        </w:rPr>
        <w:t>4</w:t>
      </w:r>
      <w:r w:rsidR="00DA292E" w:rsidRPr="00DD312A">
        <w:rPr>
          <w:rFonts w:cstheme="minorHAnsi"/>
        </w:rPr>
        <w:t xml:space="preserve"> millioner pensjonister og </w:t>
      </w:r>
      <w:r w:rsidR="0097351F">
        <w:rPr>
          <w:rFonts w:cstheme="minorHAnsi"/>
        </w:rPr>
        <w:t>uføre</w:t>
      </w:r>
      <w:r w:rsidR="00DA292E" w:rsidRPr="00DD312A">
        <w:rPr>
          <w:rFonts w:cstheme="minorHAnsi"/>
        </w:rPr>
        <w:t xml:space="preserve">trygdede sikres medinnflytelse over egen inntekt og levekår. </w:t>
      </w:r>
    </w:p>
    <w:p w14:paraId="5605B1F4" w14:textId="2FAFFC35" w:rsidR="003D6EB6" w:rsidRPr="00DD312A" w:rsidRDefault="00317AFE" w:rsidP="0017576A">
      <w:pPr>
        <w:spacing w:after="0"/>
        <w:rPr>
          <w:rFonts w:cstheme="minorHAnsi"/>
        </w:rPr>
      </w:pPr>
      <w:r w:rsidRPr="00DD312A">
        <w:rPr>
          <w:rFonts w:cstheme="minorHAnsi"/>
        </w:rPr>
        <w:t>Vi</w:t>
      </w:r>
      <w:r w:rsidR="0017576A" w:rsidRPr="00DD312A">
        <w:rPr>
          <w:rFonts w:cstheme="minorHAnsi"/>
        </w:rPr>
        <w:t xml:space="preserve"> er imot dagens rigide reguleringsbestemmelse som over tid er forventet å gi </w:t>
      </w:r>
      <w:r w:rsidR="0097351F">
        <w:rPr>
          <w:rFonts w:cstheme="minorHAnsi"/>
        </w:rPr>
        <w:t>alders</w:t>
      </w:r>
      <w:r w:rsidR="0017576A" w:rsidRPr="00DD312A">
        <w:rPr>
          <w:rFonts w:cstheme="minorHAnsi"/>
        </w:rPr>
        <w:t>pensjonister kun halvparten av realveksten som lønnstakere mottar. Lik prosentvis regulering bidrar til å forsterke sosiale- og økonomiske forskjeller. Prosentvise reguleringer fører til at de med høy</w:t>
      </w:r>
      <w:r w:rsidR="00184C16">
        <w:rPr>
          <w:rFonts w:cstheme="minorHAnsi"/>
        </w:rPr>
        <w:t xml:space="preserve"> </w:t>
      </w:r>
      <w:r w:rsidR="0097351F">
        <w:rPr>
          <w:rFonts w:cstheme="minorHAnsi"/>
        </w:rPr>
        <w:t>alders</w:t>
      </w:r>
      <w:r w:rsidR="0017576A" w:rsidRPr="00DD312A">
        <w:rPr>
          <w:rFonts w:cstheme="minorHAnsi"/>
        </w:rPr>
        <w:t xml:space="preserve">pensjon </w:t>
      </w:r>
      <w:r w:rsidR="0097351F">
        <w:rPr>
          <w:rFonts w:cstheme="minorHAnsi"/>
        </w:rPr>
        <w:t xml:space="preserve">og uføretrygd </w:t>
      </w:r>
      <w:r w:rsidR="0017576A" w:rsidRPr="00DD312A">
        <w:rPr>
          <w:rFonts w:cstheme="minorHAnsi"/>
        </w:rPr>
        <w:t>får mer i oppgjørene enn dem med lav pensjon</w:t>
      </w:r>
      <w:r w:rsidR="0097351F">
        <w:rPr>
          <w:rFonts w:cstheme="minorHAnsi"/>
        </w:rPr>
        <w:t xml:space="preserve"> og trygd</w:t>
      </w:r>
      <w:r w:rsidR="00F32E36">
        <w:rPr>
          <w:rFonts w:cstheme="minorHAnsi"/>
        </w:rPr>
        <w:t xml:space="preserve">. </w:t>
      </w:r>
      <w:r w:rsidR="0017576A" w:rsidRPr="00DD312A">
        <w:rPr>
          <w:rFonts w:cstheme="minorHAnsi"/>
        </w:rPr>
        <w:t xml:space="preserve">Forhandlinger gir </w:t>
      </w:r>
      <w:r w:rsidR="003D6EB6" w:rsidRPr="00DD312A">
        <w:rPr>
          <w:rFonts w:cstheme="minorHAnsi"/>
        </w:rPr>
        <w:t xml:space="preserve">derimot </w:t>
      </w:r>
      <w:r w:rsidR="0017576A" w:rsidRPr="00DD312A">
        <w:rPr>
          <w:rFonts w:cstheme="minorHAnsi"/>
        </w:rPr>
        <w:t>muligheten til omfordeling innenfor rammen, f.eks. gjennom generelle kronetillegg og lavlønnstillegg</w:t>
      </w:r>
      <w:r w:rsidR="003D6EB6" w:rsidRPr="00DD312A">
        <w:rPr>
          <w:rFonts w:cstheme="minorHAnsi"/>
        </w:rPr>
        <w:t>, slik som er vanlig i lønnsoppgjørene</w:t>
      </w:r>
      <w:r w:rsidR="0017576A" w:rsidRPr="00DD312A">
        <w:rPr>
          <w:rFonts w:cstheme="minorHAnsi"/>
        </w:rPr>
        <w:t>.</w:t>
      </w:r>
    </w:p>
    <w:p w14:paraId="23352A58" w14:textId="77777777" w:rsidR="003D6EB6" w:rsidRPr="00DD312A" w:rsidRDefault="003D6EB6" w:rsidP="0017576A">
      <w:pPr>
        <w:spacing w:after="0"/>
        <w:rPr>
          <w:rFonts w:cstheme="minorHAnsi"/>
        </w:rPr>
      </w:pPr>
    </w:p>
    <w:p w14:paraId="37CB1196" w14:textId="4567E3B5" w:rsidR="0017576A" w:rsidRPr="00DD312A" w:rsidRDefault="003D6EB6" w:rsidP="0017576A">
      <w:pPr>
        <w:spacing w:after="0"/>
        <w:rPr>
          <w:rFonts w:cstheme="minorHAnsi"/>
        </w:rPr>
      </w:pPr>
      <w:r w:rsidRPr="00DD312A">
        <w:rPr>
          <w:rFonts w:cstheme="minorHAnsi"/>
        </w:rPr>
        <w:t xml:space="preserve">TBU-rapporten, </w:t>
      </w:r>
      <w:r w:rsidRPr="00DD312A">
        <w:rPr>
          <w:rFonts w:cstheme="minorHAnsi"/>
          <w:i/>
          <w:iCs/>
        </w:rPr>
        <w:t>NOU 2023: 13</w:t>
      </w:r>
      <w:r w:rsidRPr="00DD312A">
        <w:rPr>
          <w:rFonts w:cstheme="minorHAnsi"/>
        </w:rPr>
        <w:t>, viser at pensjonsreguleringen de siste 10 årene (2013-2022) har gitt en realvekst på -0,3 prosent i gjennomsnitt per år (se Tabell 10.5). Pensjonistenes kjøpekraft er altså svekket de siste ti årene.</w:t>
      </w:r>
      <w:r w:rsidR="0017576A" w:rsidRPr="00DD312A">
        <w:rPr>
          <w:rFonts w:cstheme="minorHAnsi"/>
        </w:rPr>
        <w:br/>
      </w:r>
    </w:p>
    <w:p w14:paraId="3B65D46A" w14:textId="44706AD4" w:rsidR="00510001" w:rsidRDefault="00DA292E" w:rsidP="00FE21D0">
      <w:pPr>
        <w:spacing w:after="0"/>
        <w:rPr>
          <w:rFonts w:cstheme="minorHAnsi"/>
        </w:rPr>
      </w:pPr>
      <w:r w:rsidRPr="00DD312A">
        <w:rPr>
          <w:rFonts w:cstheme="minorHAnsi"/>
        </w:rPr>
        <w:lastRenderedPageBreak/>
        <w:t xml:space="preserve">Ved å oppheve underreguleringen og innføre forhandlinger </w:t>
      </w:r>
      <w:r w:rsidR="003D6EB6" w:rsidRPr="00DD312A">
        <w:rPr>
          <w:rFonts w:cstheme="minorHAnsi"/>
        </w:rPr>
        <w:t xml:space="preserve">kan vi sikre </w:t>
      </w:r>
      <w:r w:rsidRPr="00DD312A">
        <w:rPr>
          <w:rFonts w:cstheme="minorHAnsi"/>
        </w:rPr>
        <w:t xml:space="preserve">at </w:t>
      </w:r>
      <w:r w:rsidR="006871BA" w:rsidRPr="00DD312A">
        <w:rPr>
          <w:rFonts w:cstheme="minorHAnsi"/>
        </w:rPr>
        <w:t xml:space="preserve">inntektene til </w:t>
      </w:r>
      <w:r w:rsidRPr="00DD312A">
        <w:rPr>
          <w:rFonts w:cstheme="minorHAnsi"/>
        </w:rPr>
        <w:t>alderspensjonistene</w:t>
      </w:r>
      <w:r w:rsidR="006871BA" w:rsidRPr="00DD312A">
        <w:rPr>
          <w:rFonts w:cstheme="minorHAnsi"/>
        </w:rPr>
        <w:t xml:space="preserve"> og trygdede ikke sakker akterut, </w:t>
      </w:r>
      <w:r w:rsidR="007152E3" w:rsidRPr="00DD312A">
        <w:rPr>
          <w:rFonts w:cstheme="minorHAnsi"/>
        </w:rPr>
        <w:t xml:space="preserve">og at vi har virkemidlene for </w:t>
      </w:r>
      <w:r w:rsidR="003620EA">
        <w:rPr>
          <w:rFonts w:cstheme="minorHAnsi"/>
        </w:rPr>
        <w:t xml:space="preserve">å øke kjøpekraften, </w:t>
      </w:r>
      <w:r w:rsidR="007152E3" w:rsidRPr="00DD312A">
        <w:rPr>
          <w:rFonts w:cstheme="minorHAnsi"/>
        </w:rPr>
        <w:t>utjevne forskjeller og</w:t>
      </w:r>
      <w:r w:rsidR="003620EA">
        <w:rPr>
          <w:rFonts w:cstheme="minorHAnsi"/>
        </w:rPr>
        <w:t xml:space="preserve"> å</w:t>
      </w:r>
      <w:r w:rsidR="007152E3" w:rsidRPr="00DD312A">
        <w:rPr>
          <w:rFonts w:cstheme="minorHAnsi"/>
        </w:rPr>
        <w:t xml:space="preserve"> utrydde fattigdo</w:t>
      </w:r>
      <w:r w:rsidR="003D6EB6" w:rsidRPr="00DD312A">
        <w:rPr>
          <w:rFonts w:cstheme="minorHAnsi"/>
        </w:rPr>
        <w:t>m.</w:t>
      </w:r>
    </w:p>
    <w:p w14:paraId="27BF249A" w14:textId="77777777" w:rsidR="00FB726B" w:rsidRDefault="00FB726B" w:rsidP="00FE21D0">
      <w:pPr>
        <w:spacing w:after="0"/>
        <w:rPr>
          <w:rFonts w:cstheme="minorHAnsi"/>
        </w:rPr>
      </w:pPr>
    </w:p>
    <w:p w14:paraId="59C53A1D" w14:textId="146D2D0C" w:rsidR="00FE21D0" w:rsidRPr="00DD312A" w:rsidRDefault="00510001" w:rsidP="00FE21D0">
      <w:pPr>
        <w:spacing w:after="0"/>
        <w:rPr>
          <w:rFonts w:cstheme="minorHAnsi"/>
          <w:b/>
          <w:bCs/>
        </w:rPr>
      </w:pPr>
      <w:r>
        <w:rPr>
          <w:rFonts w:cstheme="minorHAnsi"/>
          <w:b/>
          <w:bCs/>
          <w:sz w:val="28"/>
          <w:szCs w:val="28"/>
          <w:u w:val="single"/>
        </w:rPr>
        <w:t xml:space="preserve"> </w:t>
      </w:r>
      <w:r w:rsidR="00FE21D0">
        <w:rPr>
          <w:rFonts w:cstheme="minorHAnsi"/>
          <w:b/>
          <w:bCs/>
          <w:sz w:val="28"/>
          <w:szCs w:val="28"/>
          <w:u w:val="single"/>
        </w:rPr>
        <w:t>Løft av de laveste pensjonene</w:t>
      </w:r>
    </w:p>
    <w:p w14:paraId="7E533F20" w14:textId="77777777" w:rsidR="00FE21D0" w:rsidRPr="00DD312A" w:rsidRDefault="00FE21D0" w:rsidP="00FE21D0">
      <w:pPr>
        <w:spacing w:after="0"/>
        <w:rPr>
          <w:rFonts w:cstheme="minorHAnsi"/>
          <w:b/>
          <w:bCs/>
        </w:rPr>
      </w:pPr>
    </w:p>
    <w:p w14:paraId="5AA9B199" w14:textId="22A4F854" w:rsidR="00FE21D0" w:rsidRPr="00DD312A" w:rsidRDefault="00FE21D0" w:rsidP="00FE21D0">
      <w:pPr>
        <w:spacing w:after="0" w:line="290" w:lineRule="atLeast"/>
        <w:rPr>
          <w:rFonts w:cstheme="minorHAnsi"/>
        </w:rPr>
      </w:pPr>
      <w:r w:rsidRPr="00DD312A">
        <w:rPr>
          <w:rFonts w:cstheme="minorHAnsi"/>
        </w:rPr>
        <w:t xml:space="preserve">Vi krever at satsene for minste pensjonsnivå løftes over fattigdomsgrensen etter EU-definisjonen (EU60). Dette er </w:t>
      </w:r>
      <w:r>
        <w:rPr>
          <w:rFonts w:cstheme="minorHAnsi"/>
        </w:rPr>
        <w:t xml:space="preserve">nødvendig for å </w:t>
      </w:r>
      <w:r w:rsidRPr="00DD312A">
        <w:rPr>
          <w:rFonts w:cstheme="minorHAnsi"/>
        </w:rPr>
        <w:t xml:space="preserve">utjevne </w:t>
      </w:r>
      <w:r>
        <w:rPr>
          <w:rFonts w:cstheme="minorHAnsi"/>
        </w:rPr>
        <w:t>inntekts</w:t>
      </w:r>
      <w:r w:rsidRPr="00DD312A">
        <w:rPr>
          <w:rFonts w:cstheme="minorHAnsi"/>
        </w:rPr>
        <w:t>forskjeller</w:t>
      </w:r>
      <w:r>
        <w:rPr>
          <w:rFonts w:cstheme="minorHAnsi"/>
        </w:rPr>
        <w:t xml:space="preserve"> blant pensjonistene</w:t>
      </w:r>
      <w:r w:rsidRPr="00DD312A">
        <w:rPr>
          <w:rFonts w:cstheme="minorHAnsi"/>
        </w:rPr>
        <w:t>, redusere fattigdom og gi økt livskvalitet.</w:t>
      </w:r>
    </w:p>
    <w:p w14:paraId="3B0F27E7" w14:textId="77777777" w:rsidR="00FE21D0" w:rsidRPr="00DD312A" w:rsidRDefault="00FE21D0" w:rsidP="00FE21D0">
      <w:pPr>
        <w:spacing w:after="0" w:line="290" w:lineRule="atLeast"/>
        <w:rPr>
          <w:rFonts w:cstheme="minorHAnsi"/>
        </w:rPr>
      </w:pPr>
    </w:p>
    <w:p w14:paraId="4F7AA348" w14:textId="77777777" w:rsidR="00FE21D0" w:rsidRPr="00DD312A" w:rsidRDefault="00FE21D0" w:rsidP="00FE21D0">
      <w:pPr>
        <w:spacing w:after="0" w:line="290" w:lineRule="atLeast"/>
        <w:rPr>
          <w:rFonts w:cstheme="minorHAnsi"/>
        </w:rPr>
      </w:pPr>
      <w:r w:rsidRPr="00DD312A">
        <w:rPr>
          <w:rFonts w:cstheme="minorHAnsi"/>
        </w:rPr>
        <w:t xml:space="preserve">Det er uverdig at noen må leve med en så lav inntekt at de ikke har råd til varer og tjenester som resten av samfunnet tar for gitt. Noe av det som kjennetegner Norge som et godt land å bo i er at vi har små forskjeller. For å styrke dette er det nødvendig å løfte dem som har minst opp til et høyere inntektsnivå. Vi ser med stor bekymring på den økende fattigdomsproblematikken i Norge, som er forsterket av den kraftigste prisveksten på flere tiår.  </w:t>
      </w:r>
    </w:p>
    <w:p w14:paraId="2ED6DD3F" w14:textId="77777777" w:rsidR="00FE21D0" w:rsidRPr="00DD312A" w:rsidRDefault="00FE21D0" w:rsidP="00FE21D0">
      <w:pPr>
        <w:spacing w:after="0" w:line="290" w:lineRule="atLeast"/>
        <w:rPr>
          <w:rFonts w:cstheme="minorHAnsi"/>
        </w:rPr>
      </w:pPr>
    </w:p>
    <w:p w14:paraId="3A793886" w14:textId="4FD6ED13" w:rsidR="007702C0" w:rsidRDefault="00FE21D0" w:rsidP="00FE21D0">
      <w:pPr>
        <w:spacing w:after="0" w:line="290" w:lineRule="atLeast"/>
        <w:rPr>
          <w:rFonts w:cstheme="minorHAnsi"/>
        </w:rPr>
      </w:pPr>
      <w:bookmarkStart w:id="2" w:name="_Hlk134961032"/>
      <w:r w:rsidRPr="00DD312A">
        <w:rPr>
          <w:rFonts w:cstheme="minorHAnsi"/>
        </w:rPr>
        <w:t xml:space="preserve">Fattigdomsgrensen etter EU60 anslås per 1. mai 2023 til 282 035 kroner for enslige, og 211 501 kroner for samboende (kilde: Arbeids- og inkluderingsdepartementets brev til Stortingets president, 28.02.2023). Samtidig anslås minste </w:t>
      </w:r>
      <w:r w:rsidR="00160CFC">
        <w:rPr>
          <w:rFonts w:cstheme="minorHAnsi"/>
        </w:rPr>
        <w:t>alders</w:t>
      </w:r>
      <w:r w:rsidRPr="00DD312A">
        <w:rPr>
          <w:rFonts w:cstheme="minorHAnsi"/>
        </w:rPr>
        <w:t>pensjonsnivå til 256 424 kroner for enslige, og 187 351 kroner for samboende med lav sats, per 1. mai 2023. Det vil si 25 611 kroner under fattigdomsgrensen for enslige, og 24 150 kroner for samboende.</w:t>
      </w:r>
      <w:r w:rsidR="007702C0">
        <w:rPr>
          <w:rFonts w:cstheme="minorHAnsi"/>
        </w:rPr>
        <w:t xml:space="preserve"> Dette vil også gi en noe mindre økning av pensjonsnivået for dem som i dag ligger noe over minstepensjon, men under fattigdomsgrensen slik at disse også overstiger fattigdomsgrensen.</w:t>
      </w:r>
    </w:p>
    <w:p w14:paraId="0351C90C" w14:textId="3E71E73B" w:rsidR="00D25934" w:rsidRDefault="00D25934" w:rsidP="00FE21D0">
      <w:pPr>
        <w:spacing w:after="0" w:line="290" w:lineRule="atLeast"/>
        <w:rPr>
          <w:rFonts w:cstheme="minorHAnsi"/>
        </w:rPr>
      </w:pPr>
    </w:p>
    <w:p w14:paraId="32C095AE" w14:textId="3FE7C97E" w:rsidR="00D25934" w:rsidRPr="00DD312A" w:rsidRDefault="00D25934" w:rsidP="00FE21D0">
      <w:pPr>
        <w:spacing w:after="0" w:line="290" w:lineRule="atLeast"/>
        <w:rPr>
          <w:rFonts w:cstheme="minorHAnsi"/>
        </w:rPr>
      </w:pPr>
      <w:r>
        <w:rPr>
          <w:rFonts w:cstheme="minorHAnsi"/>
        </w:rPr>
        <w:t xml:space="preserve">Minstepensjonister </w:t>
      </w:r>
      <w:r w:rsidR="00E52488">
        <w:rPr>
          <w:rFonts w:cstheme="minorHAnsi"/>
        </w:rPr>
        <w:t xml:space="preserve">i par </w:t>
      </w:r>
      <w:r>
        <w:rPr>
          <w:rFonts w:cstheme="minorHAnsi"/>
        </w:rPr>
        <w:t>blant uføretrygdede og «ung ufør»</w:t>
      </w:r>
      <w:r w:rsidR="00E52488">
        <w:rPr>
          <w:rFonts w:cstheme="minorHAnsi"/>
        </w:rPr>
        <w:t>,</w:t>
      </w:r>
      <w:r>
        <w:rPr>
          <w:rFonts w:cstheme="minorHAnsi"/>
        </w:rPr>
        <w:t xml:space="preserve"> vil etter reguleringen ligge noe over EUs fattigdomsgrense</w:t>
      </w:r>
      <w:r w:rsidR="00E52488">
        <w:rPr>
          <w:rFonts w:cstheme="minorHAnsi"/>
        </w:rPr>
        <w:t xml:space="preserve"> mens enslige fremdeles vil ligge under fattigdomsgrensen. </w:t>
      </w:r>
      <w:r>
        <w:rPr>
          <w:rFonts w:cstheme="minorHAnsi"/>
        </w:rPr>
        <w:t xml:space="preserve">Disse gruppene har lav livsløpsinntekt som følge av redusert eller ingen yrkesaktivitet. Mange har i tillegg store ekstrakostnader som følge av sin funksjonsnedsettelse. I tillegg er skjermingstillegget for uføre født etter 1953 tatt bort, og levealdersjusteringen vil gjøre mange til minstepensjonister ved inngangen til alderspensjon. </w:t>
      </w:r>
    </w:p>
    <w:bookmarkEnd w:id="2"/>
    <w:p w14:paraId="07B62AD0" w14:textId="77777777" w:rsidR="00FE21D0" w:rsidRPr="00DD312A" w:rsidRDefault="00FE21D0" w:rsidP="00FE21D0">
      <w:pPr>
        <w:spacing w:after="0" w:line="290" w:lineRule="atLeast"/>
        <w:rPr>
          <w:rFonts w:cstheme="minorHAnsi"/>
        </w:rPr>
      </w:pPr>
    </w:p>
    <w:p w14:paraId="76CA6F67" w14:textId="7A3D99DE" w:rsidR="00EE0EB2" w:rsidRDefault="00FE21D0" w:rsidP="00FE21D0">
      <w:pPr>
        <w:spacing w:after="0"/>
        <w:rPr>
          <w:rFonts w:cstheme="minorHAnsi"/>
        </w:rPr>
      </w:pPr>
      <w:r w:rsidRPr="00DD312A">
        <w:rPr>
          <w:rFonts w:cstheme="minorHAnsi"/>
        </w:rPr>
        <w:t xml:space="preserve">Når minstepensjonen </w:t>
      </w:r>
      <w:r w:rsidR="00D25934">
        <w:rPr>
          <w:rFonts w:cstheme="minorHAnsi"/>
        </w:rPr>
        <w:t xml:space="preserve">og minsteytelsen for uføre </w:t>
      </w:r>
      <w:r w:rsidRPr="00DD312A">
        <w:rPr>
          <w:rFonts w:cstheme="minorHAnsi"/>
        </w:rPr>
        <w:t>øker</w:t>
      </w:r>
      <w:r w:rsidR="00184C16">
        <w:rPr>
          <w:rFonts w:cstheme="minorHAnsi"/>
        </w:rPr>
        <w:t>,</w:t>
      </w:r>
      <w:r w:rsidRPr="00DD312A">
        <w:rPr>
          <w:rFonts w:cstheme="minorHAnsi"/>
        </w:rPr>
        <w:t xml:space="preserve"> er det viktig at det ikke gir reduksjon av andre ytelser. Vi ber om at det tas hensyn slik at bostøttemottakere ikke får lavere bostøtte når minstepensjonen øker. </w:t>
      </w:r>
      <w:r w:rsidR="00EE0EB2">
        <w:rPr>
          <w:rFonts w:cstheme="minorHAnsi"/>
        </w:rPr>
        <w:t xml:space="preserve">Bostøtteordningen gir allerede </w:t>
      </w:r>
      <w:r w:rsidR="00184C16">
        <w:rPr>
          <w:rFonts w:cstheme="minorHAnsi"/>
        </w:rPr>
        <w:t>begrenset</w:t>
      </w:r>
      <w:r w:rsidR="00EE0EB2">
        <w:rPr>
          <w:rFonts w:cstheme="minorHAnsi"/>
        </w:rPr>
        <w:t xml:space="preserve"> dekning for de som sliter på boligmarkedet. Funksjonshindrede har i mange tilfeller behov for tilrettelagte leiligheter og ekstra varme. Dette fanges ikke godt nok opp av dagens bostøtteordning. Vi kan gi et eksempel fra Sandnes kommune. Der er grensen for husleie som gir kompensasjon gjennom bostøtteordningen for en enslig uføretrygdet kroner 8.000 og inntektsgrensen er på kroner 25.908. Et søk i Finn base for utleieleiligheter i hele Sandnes kommune viser at det ikke finnes en eneste tilrettelagt leilighet for utleie til 8000 kroner eller mindre. </w:t>
      </w:r>
    </w:p>
    <w:p w14:paraId="51A1BA5D" w14:textId="77777777" w:rsidR="00EE0EB2" w:rsidRDefault="00EE0EB2" w:rsidP="00FE21D0">
      <w:pPr>
        <w:spacing w:after="0"/>
        <w:rPr>
          <w:rFonts w:cstheme="minorHAnsi"/>
        </w:rPr>
      </w:pPr>
    </w:p>
    <w:p w14:paraId="729520A9" w14:textId="2AC07B1B" w:rsidR="00FE21D0" w:rsidRDefault="00BE6DFE" w:rsidP="00FE21D0">
      <w:pPr>
        <w:spacing w:after="0"/>
        <w:rPr>
          <w:rFonts w:cstheme="minorHAnsi"/>
        </w:rPr>
      </w:pPr>
      <w:r>
        <w:rPr>
          <w:rFonts w:cstheme="minorHAnsi"/>
        </w:rPr>
        <w:t xml:space="preserve">Det er også viktig at fribeløpet for skatt på </w:t>
      </w:r>
      <w:r w:rsidR="00510001">
        <w:rPr>
          <w:rFonts w:cstheme="minorHAnsi"/>
        </w:rPr>
        <w:t>alders</w:t>
      </w:r>
      <w:r>
        <w:rPr>
          <w:rFonts w:cstheme="minorHAnsi"/>
        </w:rPr>
        <w:t xml:space="preserve">pensjon øker i tråd med </w:t>
      </w:r>
      <w:r w:rsidR="00510001">
        <w:rPr>
          <w:rFonts w:cstheme="minorHAnsi"/>
        </w:rPr>
        <w:t>økningen av pensjonen i trygdeoppgjøret slik at man</w:t>
      </w:r>
      <w:r w:rsidR="00A41135">
        <w:rPr>
          <w:rFonts w:cstheme="minorHAnsi"/>
        </w:rPr>
        <w:t xml:space="preserve"> opprettholde</w:t>
      </w:r>
      <w:r w:rsidR="00510001">
        <w:rPr>
          <w:rFonts w:cstheme="minorHAnsi"/>
        </w:rPr>
        <w:t>r</w:t>
      </w:r>
      <w:r w:rsidR="00A41135">
        <w:rPr>
          <w:rFonts w:cstheme="minorHAnsi"/>
        </w:rPr>
        <w:t xml:space="preserve"> prinsipp</w:t>
      </w:r>
      <w:r w:rsidR="00510001">
        <w:rPr>
          <w:rFonts w:cstheme="minorHAnsi"/>
        </w:rPr>
        <w:t>et</w:t>
      </w:r>
      <w:r w:rsidR="00A41135">
        <w:rPr>
          <w:rFonts w:cstheme="minorHAnsi"/>
        </w:rPr>
        <w:t xml:space="preserve"> om at </w:t>
      </w:r>
      <w:r w:rsidR="00510001">
        <w:rPr>
          <w:rFonts w:cstheme="minorHAnsi"/>
        </w:rPr>
        <w:t>minstepensjonen er unntatt skatt</w:t>
      </w:r>
      <w:r>
        <w:rPr>
          <w:rFonts w:cstheme="minorHAnsi"/>
        </w:rPr>
        <w:t xml:space="preserve">. </w:t>
      </w:r>
      <w:r w:rsidR="00EE0EB2">
        <w:rPr>
          <w:rFonts w:cstheme="minorHAnsi"/>
        </w:rPr>
        <w:t>Økt</w:t>
      </w:r>
      <w:r w:rsidR="00FE21D0" w:rsidRPr="00DD312A">
        <w:rPr>
          <w:rFonts w:cstheme="minorHAnsi"/>
        </w:rPr>
        <w:t xml:space="preserve"> minstepensjon </w:t>
      </w:r>
      <w:r w:rsidR="00EE0EB2">
        <w:rPr>
          <w:rFonts w:cstheme="minorHAnsi"/>
        </w:rPr>
        <w:t xml:space="preserve">må heller ikke </w:t>
      </w:r>
      <w:r w:rsidR="00FE21D0" w:rsidRPr="00DD312A">
        <w:rPr>
          <w:rFonts w:cstheme="minorHAnsi"/>
        </w:rPr>
        <w:t>spises opp av økte kommunale utgifter på nødvendige helse- og omsorgstjenester</w:t>
      </w:r>
      <w:r w:rsidR="00FE21D0" w:rsidRPr="00DD312A">
        <w:rPr>
          <w:rFonts w:cstheme="minorHAnsi"/>
          <w:color w:val="FF0000"/>
        </w:rPr>
        <w:t xml:space="preserve">. </w:t>
      </w:r>
      <w:r w:rsidR="00FE21D0" w:rsidRPr="00DD312A">
        <w:rPr>
          <w:rFonts w:cstheme="minorHAnsi"/>
        </w:rPr>
        <w:t xml:space="preserve">Vi ber også om at mottakere av offentlig tjenestepensjon ikke får samordnet bort sine tjenestepensjoner når minsteytelsene øker. Uten å ta slike hensyn vil mange minstepensjonister </w:t>
      </w:r>
      <w:r w:rsidR="00184C16">
        <w:rPr>
          <w:rFonts w:cstheme="minorHAnsi"/>
        </w:rPr>
        <w:t xml:space="preserve">og uføretrygdede med minsteytelse, </w:t>
      </w:r>
      <w:r w:rsidR="00FE21D0" w:rsidRPr="00DD312A">
        <w:rPr>
          <w:rFonts w:cstheme="minorHAnsi"/>
        </w:rPr>
        <w:t>oppleve at det gis med den ene hånden – og tas med den andre. Da får ikke målgruppen den reelle økningen de trenger. </w:t>
      </w:r>
    </w:p>
    <w:p w14:paraId="67597897" w14:textId="78858B09" w:rsidR="0080072C" w:rsidRPr="00510001" w:rsidRDefault="0080072C" w:rsidP="0080072C">
      <w:pPr>
        <w:rPr>
          <w:b/>
          <w:sz w:val="28"/>
          <w:szCs w:val="28"/>
          <w:u w:val="single"/>
        </w:rPr>
      </w:pPr>
      <w:r w:rsidRPr="00510001">
        <w:rPr>
          <w:b/>
          <w:sz w:val="28"/>
          <w:szCs w:val="28"/>
          <w:u w:val="single"/>
        </w:rPr>
        <w:lastRenderedPageBreak/>
        <w:t>Uføres alderspensjon må skjermes mot levealdersjusteringen</w:t>
      </w:r>
    </w:p>
    <w:p w14:paraId="549AAD57" w14:textId="40059EC2" w:rsidR="00884CCA" w:rsidRDefault="0080072C" w:rsidP="00884CCA">
      <w:r w:rsidRPr="009D156B">
        <w:t>Etter Folketrygdlovens paragraf 19-9 a, skal alderspensjonen til uføretrygdede som er født mellom 1944-195</w:t>
      </w:r>
      <w:r>
        <w:t>3</w:t>
      </w:r>
      <w:r w:rsidRPr="009D156B">
        <w:t xml:space="preserve"> skjermes mot virkningen av levealdersjusteringen. </w:t>
      </w:r>
      <w:r>
        <w:t xml:space="preserve">Uføre har ikke muligheten til å velge å kompensere for levealdersjusteringen ved å stå lengre i jobb. </w:t>
      </w:r>
      <w:r w:rsidRPr="009D156B">
        <w:t>Organisasjonene krever at også kullene født i 195</w:t>
      </w:r>
      <w:r>
        <w:t>4</w:t>
      </w:r>
      <w:r w:rsidRPr="009D156B">
        <w:t xml:space="preserve"> og senere</w:t>
      </w:r>
      <w:r w:rsidR="00404726">
        <w:t>,</w:t>
      </w:r>
      <w:r w:rsidRPr="009D156B">
        <w:t xml:space="preserve"> blir skjermet mot levealdersjusteringen ved overgangen fra </w:t>
      </w:r>
      <w:r>
        <w:t>uføretrygd</w:t>
      </w:r>
      <w:r w:rsidRPr="009D156B">
        <w:t xml:space="preserve"> til </w:t>
      </w:r>
      <w:r>
        <w:t>alderspensjon</w:t>
      </w:r>
      <w:r w:rsidRPr="009D156B">
        <w:t>.</w:t>
      </w:r>
      <w:r>
        <w:t xml:space="preserve"> </w:t>
      </w:r>
      <w:r w:rsidR="00404726">
        <w:t xml:space="preserve">I Hurdalsplattformen lover regjeringspartiene å «gjeninnføre et skjermingstillegg for uføre som blir alderspensjonister». </w:t>
      </w:r>
    </w:p>
    <w:p w14:paraId="07A1C614" w14:textId="0D72989D" w:rsidR="00884CCA" w:rsidRDefault="00884CCA" w:rsidP="0080072C"/>
    <w:p w14:paraId="3DDF7688" w14:textId="04755F11" w:rsidR="003D6EB6" w:rsidRPr="00DD312A" w:rsidRDefault="003D6EB6" w:rsidP="00A16E41">
      <w:pPr>
        <w:spacing w:after="0"/>
        <w:rPr>
          <w:rFonts w:cstheme="minorHAnsi"/>
          <w:u w:val="single"/>
        </w:rPr>
      </w:pPr>
      <w:r w:rsidRPr="008B202C">
        <w:rPr>
          <w:rFonts w:cstheme="minorHAnsi"/>
          <w:b/>
          <w:sz w:val="28"/>
          <w:szCs w:val="28"/>
          <w:u w:val="single"/>
        </w:rPr>
        <w:t xml:space="preserve">Pensjonistene må kompenseres for etterslepet fra 2021 </w:t>
      </w:r>
    </w:p>
    <w:p w14:paraId="16B318DE" w14:textId="41034A40" w:rsidR="004D1C01" w:rsidRPr="00DD312A" w:rsidRDefault="003D6EB6" w:rsidP="004D1C01">
      <w:pPr>
        <w:pStyle w:val="Default"/>
        <w:rPr>
          <w:rFonts w:asciiTheme="minorHAnsi" w:hAnsiTheme="minorHAnsi" w:cstheme="minorHAnsi"/>
          <w:sz w:val="22"/>
          <w:szCs w:val="22"/>
        </w:rPr>
      </w:pPr>
      <w:r w:rsidRPr="00DD312A">
        <w:rPr>
          <w:rFonts w:asciiTheme="minorHAnsi" w:hAnsiTheme="minorHAnsi" w:cstheme="minorHAnsi"/>
          <w:sz w:val="22"/>
          <w:szCs w:val="22"/>
        </w:rPr>
        <w:br/>
      </w:r>
      <w:r w:rsidR="004D1C01" w:rsidRPr="00DD312A">
        <w:rPr>
          <w:rFonts w:asciiTheme="minorHAnsi" w:hAnsiTheme="minorHAnsi" w:cstheme="minorHAnsi"/>
          <w:sz w:val="22"/>
          <w:szCs w:val="22"/>
        </w:rPr>
        <w:t xml:space="preserve">Vi viser til fjorårets trygdeoppgjør hvor regjeringen oppregulerte pensjoner under utbetaling på en måte som halverte effekten av avviket mellom den anslåtte og faktiske lønnsveksten fra 2021. Resultatet ble en innsparing på 2,2 milliarder kroner. Disse pengene krever vi etterbetalt i år, og foreslår at de øremerkes et løft </w:t>
      </w:r>
      <w:r w:rsidR="007702C0">
        <w:rPr>
          <w:rFonts w:asciiTheme="minorHAnsi" w:hAnsiTheme="minorHAnsi" w:cstheme="minorHAnsi"/>
          <w:sz w:val="22"/>
          <w:szCs w:val="22"/>
        </w:rPr>
        <w:t xml:space="preserve">av de laveste pensjonene, i tråd med vårt foregående krav. </w:t>
      </w:r>
      <w:r w:rsidR="004D1C01" w:rsidRPr="00DD312A">
        <w:rPr>
          <w:rFonts w:asciiTheme="minorHAnsi" w:hAnsiTheme="minorHAnsi" w:cstheme="minorHAnsi"/>
          <w:sz w:val="22"/>
          <w:szCs w:val="22"/>
        </w:rPr>
        <w:t xml:space="preserve"> Alle som har en pensjon under fattigdomsgrensen (EU60) må gis et løft. </w:t>
      </w:r>
    </w:p>
    <w:p w14:paraId="1C884FE1" w14:textId="77777777" w:rsidR="004D1C01" w:rsidRPr="00DD312A" w:rsidRDefault="004D1C01" w:rsidP="004D1C01">
      <w:pPr>
        <w:pStyle w:val="Default"/>
        <w:rPr>
          <w:rFonts w:asciiTheme="minorHAnsi" w:hAnsiTheme="minorHAnsi" w:cstheme="minorHAnsi"/>
          <w:sz w:val="22"/>
          <w:szCs w:val="22"/>
        </w:rPr>
      </w:pPr>
    </w:p>
    <w:p w14:paraId="04FC110F" w14:textId="280961CD" w:rsidR="003D6EB6" w:rsidRPr="00DD312A" w:rsidRDefault="00317AFE" w:rsidP="00A16E41">
      <w:pPr>
        <w:pStyle w:val="Default"/>
        <w:rPr>
          <w:rFonts w:asciiTheme="minorHAnsi" w:hAnsiTheme="minorHAnsi" w:cstheme="minorHAnsi"/>
          <w:sz w:val="22"/>
          <w:szCs w:val="22"/>
        </w:rPr>
      </w:pPr>
      <w:r w:rsidRPr="00DD312A">
        <w:rPr>
          <w:rFonts w:asciiTheme="minorHAnsi" w:hAnsiTheme="minorHAnsi" w:cstheme="minorHAnsi"/>
          <w:sz w:val="22"/>
          <w:szCs w:val="22"/>
        </w:rPr>
        <w:t>Vi</w:t>
      </w:r>
      <w:r w:rsidR="00811066" w:rsidRPr="00DD312A">
        <w:rPr>
          <w:rFonts w:asciiTheme="minorHAnsi" w:hAnsiTheme="minorHAnsi" w:cstheme="minorHAnsi"/>
          <w:sz w:val="22"/>
          <w:szCs w:val="22"/>
        </w:rPr>
        <w:t xml:space="preserve"> viser </w:t>
      </w:r>
      <w:r w:rsidR="004D1C01" w:rsidRPr="00DD312A">
        <w:rPr>
          <w:rFonts w:asciiTheme="minorHAnsi" w:hAnsiTheme="minorHAnsi" w:cstheme="minorHAnsi"/>
          <w:sz w:val="22"/>
          <w:szCs w:val="22"/>
        </w:rPr>
        <w:t xml:space="preserve">videre </w:t>
      </w:r>
      <w:r w:rsidR="00811066" w:rsidRPr="00DD312A">
        <w:rPr>
          <w:rFonts w:asciiTheme="minorHAnsi" w:hAnsiTheme="minorHAnsi" w:cstheme="minorHAnsi"/>
          <w:sz w:val="22"/>
          <w:szCs w:val="22"/>
        </w:rPr>
        <w:t>til protokolltilførsel</w:t>
      </w:r>
      <w:r w:rsidRPr="00DD312A">
        <w:rPr>
          <w:rFonts w:asciiTheme="minorHAnsi" w:hAnsiTheme="minorHAnsi" w:cstheme="minorHAnsi"/>
          <w:sz w:val="22"/>
          <w:szCs w:val="22"/>
        </w:rPr>
        <w:t>en</w:t>
      </w:r>
      <w:r w:rsidR="00811066" w:rsidRPr="00DD312A">
        <w:rPr>
          <w:rFonts w:asciiTheme="minorHAnsi" w:hAnsiTheme="minorHAnsi" w:cstheme="minorHAnsi"/>
          <w:sz w:val="22"/>
          <w:szCs w:val="22"/>
        </w:rPr>
        <w:t xml:space="preserve"> fra </w:t>
      </w:r>
      <w:r w:rsidR="003D6EB6" w:rsidRPr="00DD312A">
        <w:rPr>
          <w:rFonts w:asciiTheme="minorHAnsi" w:hAnsiTheme="minorHAnsi" w:cstheme="minorHAnsi"/>
          <w:sz w:val="22"/>
          <w:szCs w:val="22"/>
        </w:rPr>
        <w:t>møtet i «</w:t>
      </w:r>
      <w:r w:rsidR="00811066" w:rsidRPr="00DD312A">
        <w:rPr>
          <w:rFonts w:asciiTheme="minorHAnsi" w:hAnsiTheme="minorHAnsi" w:cstheme="minorHAnsi"/>
          <w:sz w:val="22"/>
          <w:szCs w:val="22"/>
        </w:rPr>
        <w:t>engere utvalg</w:t>
      </w:r>
      <w:r w:rsidR="003D6EB6" w:rsidRPr="00DD312A">
        <w:rPr>
          <w:rFonts w:asciiTheme="minorHAnsi" w:hAnsiTheme="minorHAnsi" w:cstheme="minorHAnsi"/>
          <w:sz w:val="22"/>
          <w:szCs w:val="22"/>
        </w:rPr>
        <w:t>»</w:t>
      </w:r>
      <w:r w:rsidR="00811066" w:rsidRPr="00DD312A">
        <w:rPr>
          <w:rFonts w:asciiTheme="minorHAnsi" w:hAnsiTheme="minorHAnsi" w:cstheme="minorHAnsi"/>
          <w:sz w:val="22"/>
          <w:szCs w:val="22"/>
        </w:rPr>
        <w:t xml:space="preserve"> </w:t>
      </w:r>
      <w:r w:rsidR="003D6EB6" w:rsidRPr="00DD312A">
        <w:rPr>
          <w:rFonts w:asciiTheme="minorHAnsi" w:hAnsiTheme="minorHAnsi" w:cstheme="minorHAnsi"/>
          <w:sz w:val="22"/>
          <w:szCs w:val="22"/>
        </w:rPr>
        <w:t>31</w:t>
      </w:r>
      <w:r w:rsidR="00811066" w:rsidRPr="00DD312A">
        <w:rPr>
          <w:rFonts w:asciiTheme="minorHAnsi" w:hAnsiTheme="minorHAnsi" w:cstheme="minorHAnsi"/>
          <w:sz w:val="22"/>
          <w:szCs w:val="22"/>
        </w:rPr>
        <w:t xml:space="preserve">. </w:t>
      </w:r>
      <w:r w:rsidR="003D6EB6" w:rsidRPr="00DD312A">
        <w:rPr>
          <w:rFonts w:asciiTheme="minorHAnsi" w:hAnsiTheme="minorHAnsi" w:cstheme="minorHAnsi"/>
          <w:sz w:val="22"/>
          <w:szCs w:val="22"/>
        </w:rPr>
        <w:t>mars 2023</w:t>
      </w:r>
      <w:r w:rsidR="004D1C01" w:rsidRPr="00DD312A">
        <w:rPr>
          <w:rFonts w:asciiTheme="minorHAnsi" w:hAnsiTheme="minorHAnsi" w:cstheme="minorHAnsi"/>
          <w:sz w:val="22"/>
          <w:szCs w:val="22"/>
        </w:rPr>
        <w:t>:</w:t>
      </w:r>
      <w:r w:rsidR="003D6EB6" w:rsidRPr="00DD312A">
        <w:rPr>
          <w:rFonts w:asciiTheme="minorHAnsi" w:hAnsiTheme="minorHAnsi" w:cstheme="minorHAnsi"/>
          <w:sz w:val="22"/>
          <w:szCs w:val="22"/>
        </w:rPr>
        <w:t xml:space="preserve"> </w:t>
      </w:r>
    </w:p>
    <w:p w14:paraId="5907C872" w14:textId="3FB59477" w:rsidR="003D6EB6" w:rsidRPr="00DD312A" w:rsidRDefault="003D6EB6" w:rsidP="00A16E41">
      <w:pPr>
        <w:pStyle w:val="Default"/>
        <w:rPr>
          <w:rFonts w:asciiTheme="minorHAnsi" w:hAnsiTheme="minorHAnsi" w:cstheme="minorHAnsi"/>
          <w:sz w:val="22"/>
          <w:szCs w:val="22"/>
        </w:rPr>
      </w:pPr>
    </w:p>
    <w:p w14:paraId="340D6C2D" w14:textId="0679ECCD" w:rsidR="00317AFE" w:rsidRPr="00DD312A" w:rsidRDefault="00317AFE" w:rsidP="00A16E41">
      <w:pPr>
        <w:pStyle w:val="Default"/>
        <w:rPr>
          <w:rFonts w:asciiTheme="minorHAnsi" w:hAnsiTheme="minorHAnsi" w:cstheme="minorHAnsi"/>
          <w:i/>
          <w:iCs/>
          <w:sz w:val="22"/>
          <w:szCs w:val="22"/>
        </w:rPr>
      </w:pPr>
      <w:r w:rsidRPr="00DD312A">
        <w:rPr>
          <w:rFonts w:asciiTheme="minorHAnsi" w:hAnsiTheme="minorHAnsi" w:cstheme="minorHAnsi"/>
          <w:i/>
          <w:iCs/>
          <w:sz w:val="22"/>
          <w:szCs w:val="22"/>
        </w:rPr>
        <w:t>Pensjonistforbundet (SAKO-Samarbeidet), Samarbeidsforumet av funksjonshemmedes organisasjoner (SAFO), Landsforbundet for offentlige pensjonister (LOP) og Senior Norge viser til Stortingets vedtak om å regulere pensjon med gjennomsnittet av lønns- og prisveksten, men ikke høyere enn lønnsveksten i 2021. Avviket mellom forventet og faktisk lønnsvekst i 2021 ble 1,1 prosentpoeng. Til tross for protester fra samtlige organisasjoner valgte regjeringen i trygdeoppgjøret i 2022 å korrigere avviket fra 2021 slik at det kun fikk halv effekt, tilsvarende 0,55 prosentpoeng. Vi mener det var feil av regjeringen å ikke gi full korreksjon for avviket i fjor, og vi gjentar kravet om full korrigering i år. Vi krever at de resterende 0,55 prosentpoengene av det opprinnelige avviket på 1,1 prosentpoeng fra 2021 kompenseres i årets trygdeoppgjør, slik at pensjonistene får en inntektsutvikling i tråd med Stortingets vedtak.</w:t>
      </w:r>
    </w:p>
    <w:p w14:paraId="0E7E2AE0" w14:textId="193F81E8" w:rsidR="004D1C01" w:rsidRPr="00DD312A" w:rsidRDefault="004D1C01" w:rsidP="00A16E41">
      <w:pPr>
        <w:pStyle w:val="Default"/>
        <w:rPr>
          <w:rFonts w:asciiTheme="minorHAnsi" w:hAnsiTheme="minorHAnsi" w:cstheme="minorHAnsi"/>
          <w:i/>
          <w:iCs/>
          <w:sz w:val="22"/>
          <w:szCs w:val="22"/>
        </w:rPr>
      </w:pPr>
    </w:p>
    <w:p w14:paraId="437ABB35" w14:textId="1EC855CE" w:rsidR="00EC3A63" w:rsidRPr="00DD312A" w:rsidRDefault="00EC3A63" w:rsidP="00EC3A63">
      <w:pPr>
        <w:spacing w:after="0"/>
        <w:rPr>
          <w:rFonts w:asciiTheme="majorHAnsi" w:hAnsiTheme="majorHAnsi" w:cstheme="majorHAnsi"/>
        </w:rPr>
      </w:pPr>
    </w:p>
    <w:p w14:paraId="566CB43F" w14:textId="64D8572D" w:rsidR="00EC3A63" w:rsidRPr="00081509" w:rsidRDefault="00EC3A63" w:rsidP="00EC3A63">
      <w:pPr>
        <w:spacing w:after="0"/>
        <w:rPr>
          <w:rFonts w:cstheme="minorHAnsi"/>
          <w:color w:val="000000"/>
        </w:rPr>
      </w:pPr>
      <w:bookmarkStart w:id="3" w:name="_Hlk49782206"/>
      <w:r w:rsidRPr="00081509">
        <w:rPr>
          <w:rFonts w:cstheme="minorHAnsi"/>
          <w:color w:val="000000"/>
        </w:rPr>
        <w:t xml:space="preserve">Vennlig hilsen                                                                     </w:t>
      </w:r>
    </w:p>
    <w:p w14:paraId="234BC67B" w14:textId="1FB336B0" w:rsidR="00EC3A63" w:rsidRPr="00081509" w:rsidRDefault="00EC3A63" w:rsidP="00EC3A63">
      <w:pPr>
        <w:spacing w:after="0"/>
        <w:rPr>
          <w:rFonts w:cstheme="minorHAnsi"/>
          <w:color w:val="000000"/>
        </w:rPr>
      </w:pPr>
    </w:p>
    <w:p w14:paraId="2D0A1E3F" w14:textId="3945B2B1" w:rsidR="00EC3A63" w:rsidRPr="00081509" w:rsidRDefault="0032645B" w:rsidP="00EC3A63">
      <w:pPr>
        <w:spacing w:after="0"/>
        <w:rPr>
          <w:rFonts w:cstheme="minorHAnsi"/>
          <w:color w:val="000000"/>
        </w:rPr>
      </w:pPr>
      <w:r w:rsidRPr="00081509">
        <w:rPr>
          <w:rFonts w:cstheme="minorHAnsi"/>
          <w:noProof/>
          <w:color w:val="000000"/>
        </w:rPr>
        <w:drawing>
          <wp:anchor distT="0" distB="0" distL="114300" distR="114300" simplePos="0" relativeHeight="251663360" behindDoc="1" locked="0" layoutInCell="1" allowOverlap="1" wp14:anchorId="1502E65A" wp14:editId="41E4F5FC">
            <wp:simplePos x="0" y="0"/>
            <wp:positionH relativeFrom="margin">
              <wp:align>left</wp:align>
            </wp:positionH>
            <wp:positionV relativeFrom="paragraph">
              <wp:posOffset>178435</wp:posOffset>
            </wp:positionV>
            <wp:extent cx="1827530" cy="314325"/>
            <wp:effectExtent l="0" t="0" r="1270" b="9525"/>
            <wp:wrapTight wrapText="bothSides">
              <wp:wrapPolygon edited="0">
                <wp:start x="0" y="0"/>
                <wp:lineTo x="0" y="20945"/>
                <wp:lineTo x="21390" y="20945"/>
                <wp:lineTo x="21390" y="0"/>
                <wp:lineTo x="0" y="0"/>
              </wp:wrapPolygon>
            </wp:wrapTight>
            <wp:docPr id="5" name="Bilde 5"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Jan Davids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7530" cy="314325"/>
                    </a:xfrm>
                    <a:prstGeom prst="rect">
                      <a:avLst/>
                    </a:prstGeom>
                  </pic:spPr>
                </pic:pic>
              </a:graphicData>
            </a:graphic>
            <wp14:sizeRelH relativeFrom="page">
              <wp14:pctWidth>0</wp14:pctWidth>
            </wp14:sizeRelH>
            <wp14:sizeRelV relativeFrom="page">
              <wp14:pctHeight>0</wp14:pctHeight>
            </wp14:sizeRelV>
          </wp:anchor>
        </w:drawing>
      </w:r>
      <w:r w:rsidR="00EC3A63" w:rsidRPr="00081509">
        <w:rPr>
          <w:rFonts w:cstheme="minorHAnsi"/>
          <w:color w:val="000000"/>
        </w:rPr>
        <w:t xml:space="preserve">   </w:t>
      </w:r>
      <w:r w:rsidR="00A15D0C" w:rsidRPr="00081509">
        <w:rPr>
          <w:rFonts w:cstheme="minorHAnsi"/>
          <w:color w:val="000000"/>
        </w:rPr>
        <w:tab/>
      </w:r>
      <w:r w:rsidR="00A15D0C" w:rsidRPr="00081509">
        <w:rPr>
          <w:rFonts w:cstheme="minorHAnsi"/>
          <w:color w:val="000000"/>
        </w:rPr>
        <w:tab/>
      </w:r>
      <w:r w:rsidR="00A15D0C" w:rsidRPr="00081509">
        <w:rPr>
          <w:rFonts w:cstheme="minorHAnsi"/>
          <w:noProof/>
          <w:color w:val="000000"/>
        </w:rPr>
        <w:drawing>
          <wp:inline distT="0" distB="0" distL="0" distR="0" wp14:anchorId="1207415B" wp14:editId="6FF142CC">
            <wp:extent cx="1171575" cy="509200"/>
            <wp:effectExtent l="0" t="0" r="0" b="571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4484" cy="527850"/>
                    </a:xfrm>
                    <a:prstGeom prst="rect">
                      <a:avLst/>
                    </a:prstGeom>
                    <a:noFill/>
                    <a:ln>
                      <a:noFill/>
                    </a:ln>
                  </pic:spPr>
                </pic:pic>
              </a:graphicData>
            </a:graphic>
          </wp:inline>
        </w:drawing>
      </w:r>
      <w:r w:rsidR="00EC3A63" w:rsidRPr="00081509">
        <w:rPr>
          <w:rFonts w:cstheme="minorHAnsi"/>
          <w:color w:val="000000"/>
        </w:rPr>
        <w:t xml:space="preserve">                                          </w:t>
      </w:r>
    </w:p>
    <w:p w14:paraId="78372E40" w14:textId="77777777" w:rsidR="00EC3A63" w:rsidRPr="00081509" w:rsidRDefault="00EC3A63" w:rsidP="00EC3A63">
      <w:pPr>
        <w:spacing w:after="0"/>
        <w:rPr>
          <w:rFonts w:cstheme="minorHAnsi"/>
          <w:color w:val="000000"/>
        </w:rPr>
      </w:pPr>
    </w:p>
    <w:p w14:paraId="77F64582" w14:textId="3AAB41F7" w:rsidR="00EC3A63" w:rsidRPr="00081509" w:rsidRDefault="00EC3A63" w:rsidP="00EC3A63">
      <w:pPr>
        <w:spacing w:after="0"/>
        <w:rPr>
          <w:rFonts w:cstheme="minorHAnsi"/>
          <w:color w:val="000000"/>
        </w:rPr>
      </w:pPr>
      <w:r w:rsidRPr="00081509">
        <w:rPr>
          <w:rFonts w:cstheme="minorHAnsi"/>
          <w:color w:val="000000"/>
        </w:rPr>
        <w:t>Jan Davidsen</w:t>
      </w:r>
      <w:r w:rsidRPr="00081509">
        <w:rPr>
          <w:rFonts w:cstheme="minorHAnsi"/>
          <w:color w:val="000000"/>
        </w:rPr>
        <w:tab/>
      </w:r>
      <w:r w:rsidRPr="00081509">
        <w:rPr>
          <w:rFonts w:cstheme="minorHAnsi"/>
          <w:color w:val="000000"/>
        </w:rPr>
        <w:tab/>
      </w:r>
      <w:r w:rsidRPr="00081509">
        <w:rPr>
          <w:rFonts w:cstheme="minorHAnsi"/>
          <w:color w:val="000000"/>
        </w:rPr>
        <w:tab/>
      </w:r>
      <w:r w:rsidRPr="00081509">
        <w:rPr>
          <w:rFonts w:cstheme="minorHAnsi"/>
          <w:color w:val="000000"/>
        </w:rPr>
        <w:tab/>
      </w:r>
      <w:r w:rsidRPr="00081509">
        <w:rPr>
          <w:rFonts w:cstheme="minorHAnsi"/>
          <w:color w:val="000000"/>
        </w:rPr>
        <w:tab/>
        <w:t xml:space="preserve">    To</w:t>
      </w:r>
      <w:r w:rsidR="00A76FE4" w:rsidRPr="00081509">
        <w:rPr>
          <w:rFonts w:cstheme="minorHAnsi"/>
          <w:color w:val="000000"/>
        </w:rPr>
        <w:t>m</w:t>
      </w:r>
      <w:r w:rsidRPr="00081509">
        <w:rPr>
          <w:rFonts w:cstheme="minorHAnsi"/>
          <w:color w:val="000000"/>
        </w:rPr>
        <w:t xml:space="preserve"> </w:t>
      </w:r>
      <w:r w:rsidR="00A76FE4" w:rsidRPr="00081509">
        <w:rPr>
          <w:rFonts w:cstheme="minorHAnsi"/>
          <w:color w:val="000000"/>
        </w:rPr>
        <w:t>Tvedt</w:t>
      </w:r>
    </w:p>
    <w:p w14:paraId="3DD57A99" w14:textId="5127FD2C" w:rsidR="00EC3A63" w:rsidRPr="00081509" w:rsidRDefault="00EC3A63" w:rsidP="00EC3A63">
      <w:pPr>
        <w:spacing w:after="0"/>
        <w:rPr>
          <w:rFonts w:cstheme="minorHAnsi"/>
          <w:color w:val="000000"/>
        </w:rPr>
      </w:pPr>
      <w:r w:rsidRPr="00081509">
        <w:rPr>
          <w:rFonts w:cstheme="minorHAnsi"/>
          <w:color w:val="000000"/>
        </w:rPr>
        <w:t xml:space="preserve">Forbundsleder, Pensjonistforbundet                   </w:t>
      </w:r>
      <w:r w:rsidR="007F1379" w:rsidRPr="00081509">
        <w:rPr>
          <w:rFonts w:cstheme="minorHAnsi"/>
          <w:color w:val="000000"/>
        </w:rPr>
        <w:t>Styreleder</w:t>
      </w:r>
      <w:r w:rsidRPr="00081509">
        <w:rPr>
          <w:rFonts w:cstheme="minorHAnsi"/>
          <w:color w:val="000000"/>
        </w:rPr>
        <w:t xml:space="preserve">, SAFO                                                                </w:t>
      </w:r>
    </w:p>
    <w:bookmarkEnd w:id="3"/>
    <w:p w14:paraId="41CD087D" w14:textId="77777777" w:rsidR="00691CFA" w:rsidRPr="000F4992" w:rsidRDefault="00691CFA" w:rsidP="00691CFA">
      <w:pPr>
        <w:rPr>
          <w:rFonts w:cs="Arial"/>
          <w:bCs/>
          <w:sz w:val="28"/>
          <w:szCs w:val="28"/>
        </w:rPr>
      </w:pPr>
    </w:p>
    <w:p w14:paraId="75B04CF5" w14:textId="5B2309BC" w:rsidR="00F518C6" w:rsidRPr="003C4A0C" w:rsidRDefault="00F518C6" w:rsidP="003C4A0C">
      <w:pPr>
        <w:spacing w:after="0"/>
        <w:rPr>
          <w:rFonts w:asciiTheme="majorHAnsi" w:hAnsiTheme="majorHAnsi" w:cstheme="majorHAnsi"/>
          <w:sz w:val="28"/>
          <w:szCs w:val="28"/>
        </w:rPr>
      </w:pPr>
    </w:p>
    <w:sectPr w:rsidR="00F518C6" w:rsidRPr="003C4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1BF"/>
    <w:multiLevelType w:val="hybridMultilevel"/>
    <w:tmpl w:val="6FD84A74"/>
    <w:lvl w:ilvl="0" w:tplc="F530EB66">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176C20"/>
    <w:multiLevelType w:val="multilevel"/>
    <w:tmpl w:val="8054B624"/>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10FBF"/>
    <w:multiLevelType w:val="hybridMultilevel"/>
    <w:tmpl w:val="A1825FC6"/>
    <w:lvl w:ilvl="0" w:tplc="83DC05D8">
      <w:start w:val="1"/>
      <w:numFmt w:val="bullet"/>
      <w:lvlText w:val="•"/>
      <w:lvlJc w:val="left"/>
      <w:pPr>
        <w:tabs>
          <w:tab w:val="num" w:pos="720"/>
        </w:tabs>
        <w:ind w:left="720" w:hanging="360"/>
      </w:pPr>
      <w:rPr>
        <w:rFonts w:ascii="Arial" w:hAnsi="Arial" w:hint="default"/>
      </w:rPr>
    </w:lvl>
    <w:lvl w:ilvl="1" w:tplc="9F44884C" w:tentative="1">
      <w:start w:val="1"/>
      <w:numFmt w:val="bullet"/>
      <w:lvlText w:val="•"/>
      <w:lvlJc w:val="left"/>
      <w:pPr>
        <w:tabs>
          <w:tab w:val="num" w:pos="1440"/>
        </w:tabs>
        <w:ind w:left="1440" w:hanging="360"/>
      </w:pPr>
      <w:rPr>
        <w:rFonts w:ascii="Arial" w:hAnsi="Arial" w:hint="default"/>
      </w:rPr>
    </w:lvl>
    <w:lvl w:ilvl="2" w:tplc="58EA91C8" w:tentative="1">
      <w:start w:val="1"/>
      <w:numFmt w:val="bullet"/>
      <w:lvlText w:val="•"/>
      <w:lvlJc w:val="left"/>
      <w:pPr>
        <w:tabs>
          <w:tab w:val="num" w:pos="2160"/>
        </w:tabs>
        <w:ind w:left="2160" w:hanging="360"/>
      </w:pPr>
      <w:rPr>
        <w:rFonts w:ascii="Arial" w:hAnsi="Arial" w:hint="default"/>
      </w:rPr>
    </w:lvl>
    <w:lvl w:ilvl="3" w:tplc="10F29B3E" w:tentative="1">
      <w:start w:val="1"/>
      <w:numFmt w:val="bullet"/>
      <w:lvlText w:val="•"/>
      <w:lvlJc w:val="left"/>
      <w:pPr>
        <w:tabs>
          <w:tab w:val="num" w:pos="2880"/>
        </w:tabs>
        <w:ind w:left="2880" w:hanging="360"/>
      </w:pPr>
      <w:rPr>
        <w:rFonts w:ascii="Arial" w:hAnsi="Arial" w:hint="default"/>
      </w:rPr>
    </w:lvl>
    <w:lvl w:ilvl="4" w:tplc="3F96D0A6" w:tentative="1">
      <w:start w:val="1"/>
      <w:numFmt w:val="bullet"/>
      <w:lvlText w:val="•"/>
      <w:lvlJc w:val="left"/>
      <w:pPr>
        <w:tabs>
          <w:tab w:val="num" w:pos="3600"/>
        </w:tabs>
        <w:ind w:left="3600" w:hanging="360"/>
      </w:pPr>
      <w:rPr>
        <w:rFonts w:ascii="Arial" w:hAnsi="Arial" w:hint="default"/>
      </w:rPr>
    </w:lvl>
    <w:lvl w:ilvl="5" w:tplc="F326BD70" w:tentative="1">
      <w:start w:val="1"/>
      <w:numFmt w:val="bullet"/>
      <w:lvlText w:val="•"/>
      <w:lvlJc w:val="left"/>
      <w:pPr>
        <w:tabs>
          <w:tab w:val="num" w:pos="4320"/>
        </w:tabs>
        <w:ind w:left="4320" w:hanging="360"/>
      </w:pPr>
      <w:rPr>
        <w:rFonts w:ascii="Arial" w:hAnsi="Arial" w:hint="default"/>
      </w:rPr>
    </w:lvl>
    <w:lvl w:ilvl="6" w:tplc="2A8CBEBC" w:tentative="1">
      <w:start w:val="1"/>
      <w:numFmt w:val="bullet"/>
      <w:lvlText w:val="•"/>
      <w:lvlJc w:val="left"/>
      <w:pPr>
        <w:tabs>
          <w:tab w:val="num" w:pos="5040"/>
        </w:tabs>
        <w:ind w:left="5040" w:hanging="360"/>
      </w:pPr>
      <w:rPr>
        <w:rFonts w:ascii="Arial" w:hAnsi="Arial" w:hint="default"/>
      </w:rPr>
    </w:lvl>
    <w:lvl w:ilvl="7" w:tplc="D5B0384E" w:tentative="1">
      <w:start w:val="1"/>
      <w:numFmt w:val="bullet"/>
      <w:lvlText w:val="•"/>
      <w:lvlJc w:val="left"/>
      <w:pPr>
        <w:tabs>
          <w:tab w:val="num" w:pos="5760"/>
        </w:tabs>
        <w:ind w:left="5760" w:hanging="360"/>
      </w:pPr>
      <w:rPr>
        <w:rFonts w:ascii="Arial" w:hAnsi="Arial" w:hint="default"/>
      </w:rPr>
    </w:lvl>
    <w:lvl w:ilvl="8" w:tplc="60AAC9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08586C"/>
    <w:multiLevelType w:val="hybridMultilevel"/>
    <w:tmpl w:val="BC6AAFD6"/>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4" w15:restartNumberingAfterBreak="0">
    <w:nsid w:val="50FC29DA"/>
    <w:multiLevelType w:val="hybridMultilevel"/>
    <w:tmpl w:val="A6E6730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num w:numId="1" w16cid:durableId="520820780">
    <w:abstractNumId w:val="1"/>
  </w:num>
  <w:num w:numId="2" w16cid:durableId="1647930731">
    <w:abstractNumId w:val="2"/>
  </w:num>
  <w:num w:numId="3" w16cid:durableId="1193614543">
    <w:abstractNumId w:val="0"/>
  </w:num>
  <w:num w:numId="4" w16cid:durableId="874465781">
    <w:abstractNumId w:val="4"/>
  </w:num>
  <w:num w:numId="5" w16cid:durableId="107663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FA"/>
    <w:rsid w:val="000373AE"/>
    <w:rsid w:val="000415C3"/>
    <w:rsid w:val="00060EB0"/>
    <w:rsid w:val="0007261C"/>
    <w:rsid w:val="00081509"/>
    <w:rsid w:val="00082734"/>
    <w:rsid w:val="00086375"/>
    <w:rsid w:val="000E49C7"/>
    <w:rsid w:val="000F272A"/>
    <w:rsid w:val="000F4992"/>
    <w:rsid w:val="0013154B"/>
    <w:rsid w:val="00160CFC"/>
    <w:rsid w:val="0016359A"/>
    <w:rsid w:val="0017576A"/>
    <w:rsid w:val="00184C16"/>
    <w:rsid w:val="00190C58"/>
    <w:rsid w:val="00195D35"/>
    <w:rsid w:val="001B3E73"/>
    <w:rsid w:val="001D1AB2"/>
    <w:rsid w:val="00206CCD"/>
    <w:rsid w:val="002142A0"/>
    <w:rsid w:val="00222EED"/>
    <w:rsid w:val="0029534E"/>
    <w:rsid w:val="002C418C"/>
    <w:rsid w:val="002C61F5"/>
    <w:rsid w:val="002D6239"/>
    <w:rsid w:val="002E6EB7"/>
    <w:rsid w:val="00317AFE"/>
    <w:rsid w:val="003218F4"/>
    <w:rsid w:val="003235A6"/>
    <w:rsid w:val="0032645B"/>
    <w:rsid w:val="003620EA"/>
    <w:rsid w:val="003A5199"/>
    <w:rsid w:val="003C4A0C"/>
    <w:rsid w:val="003D6EB6"/>
    <w:rsid w:val="003F4171"/>
    <w:rsid w:val="00404726"/>
    <w:rsid w:val="0042039C"/>
    <w:rsid w:val="00490A2E"/>
    <w:rsid w:val="004B293C"/>
    <w:rsid w:val="004B2B77"/>
    <w:rsid w:val="004B40FE"/>
    <w:rsid w:val="004D1C01"/>
    <w:rsid w:val="00510001"/>
    <w:rsid w:val="00550039"/>
    <w:rsid w:val="00557E64"/>
    <w:rsid w:val="00577B73"/>
    <w:rsid w:val="005A44AA"/>
    <w:rsid w:val="005C2375"/>
    <w:rsid w:val="005C619F"/>
    <w:rsid w:val="00604038"/>
    <w:rsid w:val="00647A2E"/>
    <w:rsid w:val="006871BA"/>
    <w:rsid w:val="00691CFA"/>
    <w:rsid w:val="006B528B"/>
    <w:rsid w:val="006F349E"/>
    <w:rsid w:val="006F5E4F"/>
    <w:rsid w:val="00703627"/>
    <w:rsid w:val="00705AE2"/>
    <w:rsid w:val="00714E25"/>
    <w:rsid w:val="007152E3"/>
    <w:rsid w:val="00715657"/>
    <w:rsid w:val="007319F6"/>
    <w:rsid w:val="00742B1B"/>
    <w:rsid w:val="0075193A"/>
    <w:rsid w:val="007702C0"/>
    <w:rsid w:val="00784D78"/>
    <w:rsid w:val="007A092A"/>
    <w:rsid w:val="007A5ECA"/>
    <w:rsid w:val="007E4059"/>
    <w:rsid w:val="007E4683"/>
    <w:rsid w:val="007F1379"/>
    <w:rsid w:val="0080072C"/>
    <w:rsid w:val="00802163"/>
    <w:rsid w:val="008078F6"/>
    <w:rsid w:val="00811066"/>
    <w:rsid w:val="00871132"/>
    <w:rsid w:val="00884CCA"/>
    <w:rsid w:val="00885821"/>
    <w:rsid w:val="008A6900"/>
    <w:rsid w:val="008B202C"/>
    <w:rsid w:val="008D657A"/>
    <w:rsid w:val="008F337B"/>
    <w:rsid w:val="008F5A17"/>
    <w:rsid w:val="00905CD9"/>
    <w:rsid w:val="0091332D"/>
    <w:rsid w:val="00956CA7"/>
    <w:rsid w:val="00970445"/>
    <w:rsid w:val="0097351F"/>
    <w:rsid w:val="00986598"/>
    <w:rsid w:val="00987287"/>
    <w:rsid w:val="009944B8"/>
    <w:rsid w:val="009A23A6"/>
    <w:rsid w:val="009F599F"/>
    <w:rsid w:val="009F7948"/>
    <w:rsid w:val="00A0359F"/>
    <w:rsid w:val="00A054E6"/>
    <w:rsid w:val="00A15D0C"/>
    <w:rsid w:val="00A16E41"/>
    <w:rsid w:val="00A16E74"/>
    <w:rsid w:val="00A20983"/>
    <w:rsid w:val="00A27EEA"/>
    <w:rsid w:val="00A41135"/>
    <w:rsid w:val="00A53FDE"/>
    <w:rsid w:val="00A54919"/>
    <w:rsid w:val="00A76FE4"/>
    <w:rsid w:val="00A95294"/>
    <w:rsid w:val="00AD77A5"/>
    <w:rsid w:val="00B01568"/>
    <w:rsid w:val="00B741F0"/>
    <w:rsid w:val="00B9532B"/>
    <w:rsid w:val="00BE6DFE"/>
    <w:rsid w:val="00C32594"/>
    <w:rsid w:val="00C40D1C"/>
    <w:rsid w:val="00C84E52"/>
    <w:rsid w:val="00CC2E08"/>
    <w:rsid w:val="00CF2977"/>
    <w:rsid w:val="00D17ED1"/>
    <w:rsid w:val="00D25934"/>
    <w:rsid w:val="00D4016D"/>
    <w:rsid w:val="00D416FD"/>
    <w:rsid w:val="00D96FCF"/>
    <w:rsid w:val="00DA292E"/>
    <w:rsid w:val="00DB6F9A"/>
    <w:rsid w:val="00DB77EE"/>
    <w:rsid w:val="00DD312A"/>
    <w:rsid w:val="00DF2623"/>
    <w:rsid w:val="00E16F79"/>
    <w:rsid w:val="00E31432"/>
    <w:rsid w:val="00E43755"/>
    <w:rsid w:val="00E52488"/>
    <w:rsid w:val="00E70554"/>
    <w:rsid w:val="00E8400A"/>
    <w:rsid w:val="00E955B8"/>
    <w:rsid w:val="00EC3A63"/>
    <w:rsid w:val="00ED4391"/>
    <w:rsid w:val="00EE0EB2"/>
    <w:rsid w:val="00EE6B47"/>
    <w:rsid w:val="00F06BE2"/>
    <w:rsid w:val="00F32E36"/>
    <w:rsid w:val="00F518C6"/>
    <w:rsid w:val="00FB726B"/>
    <w:rsid w:val="00FE21D0"/>
    <w:rsid w:val="00FF52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822E"/>
  <w15:chartTrackingRefBased/>
  <w15:docId w15:val="{6D06263A-32AD-4A1C-ABB2-5AD5246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CFA"/>
  </w:style>
  <w:style w:type="paragraph" w:styleId="Overskrift1">
    <w:name w:val="heading 1"/>
    <w:basedOn w:val="Normal"/>
    <w:next w:val="Normal"/>
    <w:link w:val="Overskrift1Tegn"/>
    <w:uiPriority w:val="9"/>
    <w:qFormat/>
    <w:rsid w:val="00604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9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691CFA"/>
    <w:rPr>
      <w:sz w:val="16"/>
      <w:szCs w:val="16"/>
    </w:rPr>
  </w:style>
  <w:style w:type="paragraph" w:styleId="Merknadstekst">
    <w:name w:val="annotation text"/>
    <w:basedOn w:val="Normal"/>
    <w:link w:val="MerknadstekstTegn"/>
    <w:uiPriority w:val="99"/>
    <w:semiHidden/>
    <w:unhideWhenUsed/>
    <w:rsid w:val="00691CF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91CFA"/>
    <w:rPr>
      <w:sz w:val="20"/>
      <w:szCs w:val="20"/>
    </w:rPr>
  </w:style>
  <w:style w:type="paragraph" w:styleId="Bobletekst">
    <w:name w:val="Balloon Text"/>
    <w:basedOn w:val="Normal"/>
    <w:link w:val="BobletekstTegn"/>
    <w:uiPriority w:val="99"/>
    <w:semiHidden/>
    <w:unhideWhenUsed/>
    <w:rsid w:val="00691CF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91CFA"/>
    <w:rPr>
      <w:rFonts w:ascii="Segoe UI" w:hAnsi="Segoe UI" w:cs="Segoe UI"/>
      <w:sz w:val="18"/>
      <w:szCs w:val="18"/>
    </w:rPr>
  </w:style>
  <w:style w:type="paragraph" w:styleId="Listeavsnitt">
    <w:name w:val="List Paragraph"/>
    <w:basedOn w:val="Normal"/>
    <w:uiPriority w:val="34"/>
    <w:qFormat/>
    <w:rsid w:val="007152E3"/>
    <w:pPr>
      <w:ind w:left="720"/>
      <w:contextualSpacing/>
    </w:pPr>
  </w:style>
  <w:style w:type="character" w:styleId="Hyperkobling">
    <w:name w:val="Hyperlink"/>
    <w:basedOn w:val="Standardskriftforavsnitt"/>
    <w:uiPriority w:val="99"/>
    <w:unhideWhenUsed/>
    <w:rsid w:val="006871BA"/>
    <w:rPr>
      <w:color w:val="0563C1" w:themeColor="hyperlink"/>
      <w:u w:val="single"/>
    </w:rPr>
  </w:style>
  <w:style w:type="character" w:customStyle="1" w:styleId="Overskrift1Tegn">
    <w:name w:val="Overskrift 1 Tegn"/>
    <w:basedOn w:val="Standardskriftforavsnitt"/>
    <w:link w:val="Overskrift1"/>
    <w:uiPriority w:val="9"/>
    <w:rsid w:val="00604038"/>
    <w:rPr>
      <w:rFonts w:asciiTheme="majorHAnsi" w:eastAsiaTheme="majorEastAsia" w:hAnsiTheme="majorHAnsi" w:cstheme="majorBidi"/>
      <w:color w:val="2F5496" w:themeColor="accent1" w:themeShade="BF"/>
      <w:sz w:val="32"/>
      <w:szCs w:val="32"/>
    </w:rPr>
  </w:style>
  <w:style w:type="paragraph" w:styleId="Kommentaremne">
    <w:name w:val="annotation subject"/>
    <w:basedOn w:val="Merknadstekst"/>
    <w:next w:val="Merknadstekst"/>
    <w:link w:val="KommentaremneTegn"/>
    <w:uiPriority w:val="99"/>
    <w:semiHidden/>
    <w:unhideWhenUsed/>
    <w:rsid w:val="00E16F79"/>
    <w:rPr>
      <w:b/>
      <w:bCs/>
    </w:rPr>
  </w:style>
  <w:style w:type="character" w:customStyle="1" w:styleId="KommentaremneTegn">
    <w:name w:val="Kommentaremne Tegn"/>
    <w:basedOn w:val="MerknadstekstTegn"/>
    <w:link w:val="Kommentaremne"/>
    <w:uiPriority w:val="99"/>
    <w:semiHidden/>
    <w:rsid w:val="00E16F79"/>
    <w:rPr>
      <w:b/>
      <w:bCs/>
      <w:sz w:val="20"/>
      <w:szCs w:val="20"/>
    </w:rPr>
  </w:style>
  <w:style w:type="paragraph" w:customStyle="1" w:styleId="Default">
    <w:name w:val="Default"/>
    <w:rsid w:val="00A16E41"/>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Tittel">
    <w:name w:val="Title"/>
    <w:basedOn w:val="Normal"/>
    <w:next w:val="Normal"/>
    <w:link w:val="TittelTegn"/>
    <w:uiPriority w:val="10"/>
    <w:qFormat/>
    <w:rsid w:val="007E46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E4683"/>
    <w:rPr>
      <w:rFonts w:asciiTheme="majorHAnsi" w:eastAsiaTheme="majorEastAsia" w:hAnsiTheme="majorHAnsi" w:cstheme="majorBidi"/>
      <w:spacing w:val="-10"/>
      <w:kern w:val="28"/>
      <w:sz w:val="56"/>
      <w:szCs w:val="56"/>
    </w:rPr>
  </w:style>
  <w:style w:type="paragraph" w:styleId="Revisjon">
    <w:name w:val="Revision"/>
    <w:hidden/>
    <w:uiPriority w:val="99"/>
    <w:semiHidden/>
    <w:rsid w:val="002E6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225">
      <w:bodyDiv w:val="1"/>
      <w:marLeft w:val="0"/>
      <w:marRight w:val="0"/>
      <w:marTop w:val="0"/>
      <w:marBottom w:val="0"/>
      <w:divBdr>
        <w:top w:val="none" w:sz="0" w:space="0" w:color="auto"/>
        <w:left w:val="none" w:sz="0" w:space="0" w:color="auto"/>
        <w:bottom w:val="none" w:sz="0" w:space="0" w:color="auto"/>
        <w:right w:val="none" w:sz="0" w:space="0" w:color="auto"/>
      </w:divBdr>
    </w:div>
    <w:div w:id="175274542">
      <w:bodyDiv w:val="1"/>
      <w:marLeft w:val="0"/>
      <w:marRight w:val="0"/>
      <w:marTop w:val="0"/>
      <w:marBottom w:val="0"/>
      <w:divBdr>
        <w:top w:val="none" w:sz="0" w:space="0" w:color="auto"/>
        <w:left w:val="none" w:sz="0" w:space="0" w:color="auto"/>
        <w:bottom w:val="none" w:sz="0" w:space="0" w:color="auto"/>
        <w:right w:val="none" w:sz="0" w:space="0" w:color="auto"/>
      </w:divBdr>
      <w:divsChild>
        <w:div w:id="102892504">
          <w:marLeft w:val="360"/>
          <w:marRight w:val="0"/>
          <w:marTop w:val="200"/>
          <w:marBottom w:val="0"/>
          <w:divBdr>
            <w:top w:val="none" w:sz="0" w:space="0" w:color="auto"/>
            <w:left w:val="none" w:sz="0" w:space="0" w:color="auto"/>
            <w:bottom w:val="none" w:sz="0" w:space="0" w:color="auto"/>
            <w:right w:val="none" w:sz="0" w:space="0" w:color="auto"/>
          </w:divBdr>
        </w:div>
      </w:divsChild>
    </w:div>
    <w:div w:id="15020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cid:ii_l347ffyk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1569</Words>
  <Characters>8319</Characters>
  <Application>Microsoft Office Word</Application>
  <DocSecurity>4</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N. Dahl</dc:creator>
  <cp:keywords/>
  <dc:description/>
  <cp:lastModifiedBy>Bjørg Karin Bjåland Buttedahl</cp:lastModifiedBy>
  <cp:revision>2</cp:revision>
  <cp:lastPrinted>2023-05-15T09:05:00Z</cp:lastPrinted>
  <dcterms:created xsi:type="dcterms:W3CDTF">2023-05-15T13:22:00Z</dcterms:created>
  <dcterms:modified xsi:type="dcterms:W3CDTF">2023-05-15T13:22:00Z</dcterms:modified>
</cp:coreProperties>
</file>