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3FAA4" w14:textId="57634E9E" w:rsidR="00FC0E1E" w:rsidRPr="004716E0" w:rsidRDefault="00FC0E1E" w:rsidP="00FC0E1E">
      <w:pPr>
        <w:rPr>
          <w:rFonts w:asciiTheme="minorHAnsi" w:hAnsiTheme="minorHAnsi"/>
          <w:color w:val="FF0000"/>
        </w:rPr>
      </w:pPr>
      <w:r w:rsidRPr="004716E0">
        <w:rPr>
          <w:rFonts w:asciiTheme="minorHAnsi" w:hAnsiTheme="minorHAnsi"/>
          <w:noProof/>
          <w:color w:val="0FAEEF"/>
          <w14:ligatures w14:val="standardContextual"/>
        </w:rPr>
        <w:drawing>
          <wp:anchor distT="0" distB="0" distL="114300" distR="114300" simplePos="0" relativeHeight="251658240" behindDoc="0" locked="0" layoutInCell="1" allowOverlap="1" wp14:anchorId="7A5C44C3" wp14:editId="40C6E181">
            <wp:simplePos x="0" y="0"/>
            <wp:positionH relativeFrom="column">
              <wp:posOffset>4436745</wp:posOffset>
            </wp:positionH>
            <wp:positionV relativeFrom="paragraph">
              <wp:posOffset>292</wp:posOffset>
            </wp:positionV>
            <wp:extent cx="1204595" cy="1204595"/>
            <wp:effectExtent l="0" t="0" r="1905" b="1905"/>
            <wp:wrapSquare wrapText="bothSides"/>
            <wp:docPr id="364744329" name="Bilde 1" descr="Et bilde som inneholder tekst, Font, sirkel,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94861" name="Bilde 5" descr="Et bilde som inneholder tekst, Font, sirkel, logo&#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4595" cy="1204595"/>
                    </a:xfrm>
                    <a:prstGeom prst="rect">
                      <a:avLst/>
                    </a:prstGeom>
                  </pic:spPr>
                </pic:pic>
              </a:graphicData>
            </a:graphic>
            <wp14:sizeRelH relativeFrom="page">
              <wp14:pctWidth>0</wp14:pctWidth>
            </wp14:sizeRelH>
            <wp14:sizeRelV relativeFrom="page">
              <wp14:pctHeight>0</wp14:pctHeight>
            </wp14:sizeRelV>
          </wp:anchor>
        </w:drawing>
      </w:r>
      <w:r w:rsidRPr="004716E0">
        <w:rPr>
          <w:rFonts w:asciiTheme="minorHAnsi" w:hAnsiTheme="minorHAnsi"/>
          <w:color w:val="FF0000"/>
        </w:rPr>
        <w:t>Sperrefrist tirsdag 10. september klokken 0</w:t>
      </w:r>
      <w:r w:rsidR="00A657A4">
        <w:rPr>
          <w:rFonts w:asciiTheme="minorHAnsi" w:hAnsiTheme="minorHAnsi"/>
          <w:color w:val="FF0000"/>
        </w:rPr>
        <w:t>8</w:t>
      </w:r>
      <w:r w:rsidRPr="004716E0">
        <w:rPr>
          <w:rFonts w:asciiTheme="minorHAnsi" w:hAnsiTheme="minorHAnsi"/>
          <w:color w:val="FF0000"/>
        </w:rPr>
        <w:t>:</w:t>
      </w:r>
      <w:r w:rsidR="00A657A4">
        <w:rPr>
          <w:rFonts w:asciiTheme="minorHAnsi" w:hAnsiTheme="minorHAnsi"/>
          <w:color w:val="FF0000"/>
        </w:rPr>
        <w:t>0</w:t>
      </w:r>
      <w:r w:rsidRPr="004716E0">
        <w:rPr>
          <w:rFonts w:asciiTheme="minorHAnsi" w:hAnsiTheme="minorHAnsi"/>
          <w:color w:val="FF0000"/>
        </w:rPr>
        <w:t>0</w:t>
      </w:r>
    </w:p>
    <w:p w14:paraId="484F788A" w14:textId="77777777" w:rsidR="00FC0E1E" w:rsidRPr="004716E0" w:rsidRDefault="00FC0E1E" w:rsidP="00FC0E1E">
      <w:pPr>
        <w:rPr>
          <w:rFonts w:asciiTheme="minorHAnsi" w:hAnsiTheme="minorHAnsi"/>
          <w:color w:val="000000" w:themeColor="text1"/>
        </w:rPr>
      </w:pPr>
    </w:p>
    <w:p w14:paraId="7B29A815" w14:textId="125C7D2D" w:rsidR="00FC0E1E" w:rsidRPr="004716E0" w:rsidRDefault="00FC0E1E" w:rsidP="00FC0E1E">
      <w:pPr>
        <w:rPr>
          <w:rFonts w:asciiTheme="minorHAnsi" w:hAnsiTheme="minorHAnsi"/>
          <w:color w:val="000000" w:themeColor="text1"/>
        </w:rPr>
      </w:pPr>
      <w:r w:rsidRPr="004716E0">
        <w:rPr>
          <w:rFonts w:asciiTheme="minorHAnsi" w:hAnsiTheme="minorHAnsi"/>
          <w:color w:val="000000" w:themeColor="text1"/>
        </w:rPr>
        <w:t>UNICEF Norges Kommuneanalyse:</w:t>
      </w:r>
    </w:p>
    <w:p w14:paraId="12B3E160" w14:textId="693AE459" w:rsidR="00FC0E1E" w:rsidRPr="004716E0" w:rsidRDefault="00FC0E1E" w:rsidP="00FC0E1E">
      <w:pPr>
        <w:rPr>
          <w:rFonts w:asciiTheme="minorHAnsi" w:hAnsiTheme="minorHAnsi"/>
          <w:color w:val="000000" w:themeColor="text1"/>
          <w:sz w:val="44"/>
          <w:szCs w:val="44"/>
        </w:rPr>
      </w:pPr>
      <w:r w:rsidRPr="004716E0">
        <w:rPr>
          <w:rFonts w:asciiTheme="minorHAnsi" w:hAnsiTheme="minorHAnsi"/>
          <w:color w:val="000000" w:themeColor="text1"/>
          <w:sz w:val="44"/>
          <w:szCs w:val="44"/>
        </w:rPr>
        <w:t>Store, lokale forskjeller kan få alvorlige konsekvenser for barn og unges liv</w:t>
      </w:r>
    </w:p>
    <w:p w14:paraId="1F8D756D" w14:textId="77777777" w:rsidR="00FC0E1E" w:rsidRPr="004716E0" w:rsidRDefault="00FC0E1E" w:rsidP="00FC0E1E">
      <w:pPr>
        <w:rPr>
          <w:rFonts w:asciiTheme="minorHAnsi" w:hAnsiTheme="minorHAnsi"/>
          <w:color w:val="000000" w:themeColor="text1"/>
        </w:rPr>
      </w:pPr>
    </w:p>
    <w:p w14:paraId="436C12A0" w14:textId="6C3BF6E2" w:rsidR="00FC0E1E" w:rsidRPr="004716E0" w:rsidRDefault="00FC0E1E" w:rsidP="00FC0E1E">
      <w:pPr>
        <w:rPr>
          <w:rFonts w:asciiTheme="minorHAnsi" w:hAnsiTheme="minorHAnsi"/>
          <w:b/>
          <w:bCs/>
          <w:color w:val="000000" w:themeColor="text1"/>
        </w:rPr>
      </w:pPr>
      <w:r w:rsidRPr="004716E0">
        <w:rPr>
          <w:rFonts w:asciiTheme="minorHAnsi" w:hAnsiTheme="minorHAnsi"/>
          <w:b/>
          <w:bCs/>
          <w:color w:val="000000" w:themeColor="text1"/>
        </w:rPr>
        <w:t>Den lille kommunen Salangen i Troms topper årets Kommuneanalyse fra UNICEF Norge. Rælingen havner på sisteplass, av totalt 336 kommuner.  - Store, geografiske ulikheter kan få alvorlige konsekvenser for barn og unges liv, sier Sara Bondø i UNICEF Norge.</w:t>
      </w:r>
    </w:p>
    <w:p w14:paraId="5E354427" w14:textId="77777777" w:rsidR="00FC0E1E" w:rsidRPr="004716E0" w:rsidRDefault="00FC0E1E" w:rsidP="00FC0E1E">
      <w:pPr>
        <w:rPr>
          <w:rFonts w:asciiTheme="minorHAnsi" w:hAnsiTheme="minorHAnsi"/>
          <w:color w:val="000000" w:themeColor="text1"/>
        </w:rPr>
      </w:pPr>
    </w:p>
    <w:p w14:paraId="4152C75F" w14:textId="1C2646B9" w:rsidR="00FC0E1E" w:rsidRPr="004716E0" w:rsidRDefault="00FC0E1E" w:rsidP="00FC0E1E">
      <w:pPr>
        <w:rPr>
          <w:rFonts w:asciiTheme="minorHAnsi" w:hAnsiTheme="minorHAnsi"/>
          <w:color w:val="000000" w:themeColor="text1"/>
          <w:shd w:val="clear" w:color="auto" w:fill="FFFFFF"/>
        </w:rPr>
      </w:pPr>
      <w:r w:rsidRPr="004716E0">
        <w:rPr>
          <w:rFonts w:asciiTheme="minorHAnsi" w:hAnsiTheme="minorHAnsi" w:cstheme="minorHAnsi"/>
          <w:color w:val="000000" w:themeColor="text1"/>
          <w:bdr w:val="none" w:sz="0" w:space="0" w:color="auto" w:frame="1"/>
        </w:rPr>
        <w:t>Kommuneanalysen rangerer hvilke kommuner som yter det beste tjenestetilbudet til barn og unge</w:t>
      </w:r>
      <w:r w:rsidRPr="004716E0">
        <w:rPr>
          <w:rFonts w:asciiTheme="minorHAnsi" w:hAnsiTheme="minorHAnsi" w:cstheme="minorHAnsi"/>
          <w:b/>
          <w:bCs/>
          <w:color w:val="000000" w:themeColor="text1"/>
          <w:bdr w:val="none" w:sz="0" w:space="0" w:color="auto" w:frame="1"/>
        </w:rPr>
        <w:t xml:space="preserve"> </w:t>
      </w:r>
      <w:r w:rsidRPr="004716E0">
        <w:rPr>
          <w:rFonts w:asciiTheme="minorHAnsi" w:hAnsiTheme="minorHAnsi"/>
          <w:color w:val="000000" w:themeColor="text1"/>
          <w:shd w:val="clear" w:color="auto" w:fill="FFFFFF"/>
        </w:rPr>
        <w:t>ved å se på fem sektorer: </w:t>
      </w:r>
      <w:r w:rsidRPr="004716E0">
        <w:rPr>
          <w:rStyle w:val="font-weight-bold"/>
          <w:rFonts w:asciiTheme="minorHAnsi" w:hAnsiTheme="minorHAnsi"/>
          <w:b/>
          <w:bCs/>
          <w:color w:val="000000" w:themeColor="text1"/>
          <w:shd w:val="clear" w:color="auto" w:fill="FFFFFF"/>
        </w:rPr>
        <w:t>Barnehage, skole, barnevern, helsetjenester og kulturtilbud</w:t>
      </w:r>
      <w:r w:rsidRPr="004716E0">
        <w:rPr>
          <w:rFonts w:asciiTheme="minorHAnsi" w:hAnsiTheme="minorHAnsi"/>
          <w:color w:val="000000" w:themeColor="text1"/>
          <w:shd w:val="clear" w:color="auto" w:fill="FFFFFF"/>
        </w:rPr>
        <w:t xml:space="preserve">. </w:t>
      </w:r>
      <w:r w:rsidRPr="004716E0">
        <w:rPr>
          <w:rStyle w:val="Sterk"/>
          <w:rFonts w:asciiTheme="minorHAnsi" w:eastAsiaTheme="majorEastAsia" w:hAnsiTheme="minorHAnsi" w:cs="Open Sans"/>
          <w:b w:val="0"/>
          <w:bCs w:val="0"/>
          <w:color w:val="000000" w:themeColor="text1"/>
          <w:shd w:val="clear" w:color="auto" w:fill="FEFEFE"/>
        </w:rPr>
        <w:t xml:space="preserve">Disse gir en samlet vurdering på oppvekstsvilkårene for barn og unge i de forskjellige kommunene. </w:t>
      </w:r>
    </w:p>
    <w:p w14:paraId="6C3C4A91" w14:textId="77777777" w:rsidR="00FC0E1E" w:rsidRPr="004716E0" w:rsidRDefault="00FC0E1E" w:rsidP="00FC0E1E">
      <w:pPr>
        <w:rPr>
          <w:rFonts w:asciiTheme="minorHAnsi" w:hAnsiTheme="minorHAnsi"/>
          <w:color w:val="000000" w:themeColor="text1"/>
          <w:shd w:val="clear" w:color="auto" w:fill="FFFFFF"/>
        </w:rPr>
      </w:pPr>
    </w:p>
    <w:p w14:paraId="126D797A" w14:textId="468359E8" w:rsidR="00FC0E1E" w:rsidRPr="004716E0" w:rsidRDefault="00FC0E1E" w:rsidP="00FC0E1E">
      <w:pPr>
        <w:rPr>
          <w:rFonts w:asciiTheme="minorHAnsi" w:hAnsiTheme="minorHAnsi" w:cs="Calibri"/>
          <w:color w:val="000000" w:themeColor="text1"/>
          <w:bdr w:val="none" w:sz="0" w:space="0" w:color="auto" w:frame="1"/>
        </w:rPr>
      </w:pPr>
      <w:r w:rsidRPr="004716E0">
        <w:rPr>
          <w:rFonts w:asciiTheme="minorHAnsi" w:hAnsiTheme="minorHAnsi" w:cs="Calibri"/>
          <w:color w:val="000000" w:themeColor="text1"/>
          <w:bdr w:val="none" w:sz="0" w:space="0" w:color="auto" w:frame="1"/>
        </w:rPr>
        <w:t xml:space="preserve">Vokser du opp i Salangen kommune i dag har du altså større sjanse for å få god tilgang og kvalitet på barnehage, barnevern og helsetjenester, enn i nabokommunen Sørreisa som ligger helt nede på plass 224. Sørreisa scorer for eksempel lavest i hele landet på antall stillinger med fagutdanning i barnevernet, og Salangen tilbyr nesten dobbelt så mange kvadratmeter til lek og opphold per barnehagebarn enn Sørreisa kommune, gjør. Dette viser tydelig hvordan kommunegrensene avgjør barns tilgang på tjenester. </w:t>
      </w:r>
    </w:p>
    <w:p w14:paraId="18FBA776" w14:textId="77777777" w:rsidR="00FC0E1E" w:rsidRPr="004716E0" w:rsidRDefault="00FC0E1E" w:rsidP="00FC0E1E">
      <w:pPr>
        <w:pStyle w:val="NormalWeb"/>
        <w:shd w:val="clear" w:color="auto" w:fill="FFFFFF"/>
        <w:spacing w:before="0" w:beforeAutospacing="0" w:after="0" w:afterAutospacing="0"/>
        <w:textAlignment w:val="baseline"/>
        <w:rPr>
          <w:rFonts w:asciiTheme="minorHAnsi" w:hAnsiTheme="minorHAnsi" w:cs="Calibri"/>
          <w:color w:val="000000" w:themeColor="text1"/>
          <w:bdr w:val="none" w:sz="0" w:space="0" w:color="auto" w:frame="1"/>
        </w:rPr>
      </w:pPr>
    </w:p>
    <w:p w14:paraId="0D9B69B5" w14:textId="42E96EFF" w:rsidR="00FC0E1E" w:rsidRPr="001242B5" w:rsidRDefault="00FC0E1E" w:rsidP="00FC0E1E">
      <w:pPr>
        <w:pStyle w:val="Listeavsnitt"/>
        <w:numPr>
          <w:ilvl w:val="0"/>
          <w:numId w:val="11"/>
        </w:numPr>
        <w:rPr>
          <w:rFonts w:asciiTheme="minorHAnsi" w:hAnsiTheme="minorHAnsi"/>
          <w:i/>
          <w:iCs/>
          <w:color w:val="000000" w:themeColor="text1"/>
        </w:rPr>
      </w:pPr>
      <w:r w:rsidRPr="001242B5">
        <w:rPr>
          <w:rFonts w:asciiTheme="minorHAnsi" w:hAnsiTheme="minorHAnsi"/>
          <w:i/>
          <w:iCs/>
          <w:color w:val="000000" w:themeColor="text1"/>
        </w:rPr>
        <w:t xml:space="preserve">Kommunen et barn bor i skal ikke avgjøre hvilken oppvekst </w:t>
      </w:r>
      <w:r w:rsidRPr="001242B5">
        <w:rPr>
          <w:rFonts w:asciiTheme="minorHAnsi" w:hAnsiTheme="minorHAnsi"/>
          <w:i/>
          <w:color w:val="000000" w:themeColor="text1"/>
        </w:rPr>
        <w:t>barnet</w:t>
      </w:r>
      <w:r w:rsidRPr="001242B5">
        <w:rPr>
          <w:rFonts w:asciiTheme="minorHAnsi" w:hAnsiTheme="minorHAnsi"/>
          <w:i/>
          <w:iCs/>
          <w:color w:val="000000" w:themeColor="text1"/>
        </w:rPr>
        <w:t xml:space="preserve"> får. Analysen gir kun et øyeblikksbilde av kommunens prioriteringer, men for de barna som vokser opp </w:t>
      </w:r>
      <w:r w:rsidRPr="001242B5">
        <w:rPr>
          <w:rFonts w:asciiTheme="minorHAnsi" w:hAnsiTheme="minorHAnsi"/>
          <w:b/>
          <w:bCs/>
          <w:i/>
          <w:iCs/>
          <w:color w:val="000000" w:themeColor="text1"/>
        </w:rPr>
        <w:t>akkurat nå</w:t>
      </w:r>
      <w:r w:rsidRPr="001242B5">
        <w:rPr>
          <w:rFonts w:asciiTheme="minorHAnsi" w:hAnsiTheme="minorHAnsi"/>
          <w:i/>
          <w:iCs/>
          <w:color w:val="000000" w:themeColor="text1"/>
        </w:rPr>
        <w:t xml:space="preserve"> er dette realiteten, </w:t>
      </w:r>
      <w:r w:rsidRPr="001242B5">
        <w:rPr>
          <w:rFonts w:asciiTheme="minorHAnsi" w:hAnsiTheme="minorHAnsi"/>
          <w:color w:val="000000" w:themeColor="text1"/>
        </w:rPr>
        <w:t>fastslår Bondø, direktør for barns rettigheter i UNICEF Norge.</w:t>
      </w:r>
    </w:p>
    <w:p w14:paraId="382D1450" w14:textId="77777777" w:rsidR="00FC0E1E" w:rsidRPr="004716E0" w:rsidRDefault="00FC0E1E" w:rsidP="00FC0E1E">
      <w:pPr>
        <w:rPr>
          <w:rFonts w:asciiTheme="minorHAnsi" w:hAnsiTheme="minorHAnsi"/>
          <w:color w:val="000000" w:themeColor="text1"/>
        </w:rPr>
      </w:pPr>
    </w:p>
    <w:p w14:paraId="133E9105" w14:textId="7DA09511" w:rsidR="00FC0E1E" w:rsidRPr="004716E0" w:rsidRDefault="00FC0E1E" w:rsidP="00FC0E1E">
      <w:pPr>
        <w:rPr>
          <w:rStyle w:val="xxnormaltextrun"/>
          <w:rFonts w:asciiTheme="minorHAnsi" w:eastAsiaTheme="majorEastAsia" w:hAnsiTheme="minorHAnsi" w:cs="Calibri"/>
          <w:i/>
          <w:color w:val="000000" w:themeColor="text1"/>
        </w:rPr>
      </w:pPr>
      <w:r w:rsidRPr="004716E0">
        <w:rPr>
          <w:rStyle w:val="xxnormaltextrun"/>
          <w:rFonts w:asciiTheme="minorHAnsi" w:eastAsiaTheme="majorEastAsia" w:hAnsiTheme="minorHAnsi" w:cs="Calibri"/>
          <w:color w:val="000000" w:themeColor="text1"/>
        </w:rPr>
        <w:t xml:space="preserve">Alle barn har lik rett til en trygg og god oppvekst, ifølge FNs Barnekonvensjon. Nest etter familien er det kommunene som har ansvar for å oppfylle disse rettighetene. </w:t>
      </w:r>
      <w:r w:rsidRPr="004716E0">
        <w:rPr>
          <w:rFonts w:asciiTheme="minorHAnsi" w:hAnsiTheme="minorHAnsi"/>
        </w:rPr>
        <w:t>Kommunene skal fungere som et sikkerhetsnett når noe eller noen rundt et barn svikter.</w:t>
      </w:r>
    </w:p>
    <w:p w14:paraId="7E751D4D" w14:textId="77777777" w:rsidR="00FC0E1E" w:rsidRPr="004716E0" w:rsidRDefault="00FC0E1E" w:rsidP="00FC0E1E">
      <w:pPr>
        <w:rPr>
          <w:rFonts w:asciiTheme="minorHAnsi" w:hAnsiTheme="minorHAnsi"/>
          <w:color w:val="000000" w:themeColor="text1"/>
        </w:rPr>
      </w:pPr>
    </w:p>
    <w:p w14:paraId="1856C29B" w14:textId="27B73566" w:rsidR="00FC0E1E" w:rsidRPr="004716E0" w:rsidRDefault="00FC0E1E" w:rsidP="00FC0E1E">
      <w:pPr>
        <w:rPr>
          <w:rFonts w:asciiTheme="minorHAnsi" w:hAnsiTheme="minorHAnsi"/>
          <w:b/>
          <w:bCs/>
          <w:color w:val="000000" w:themeColor="text1"/>
          <w:shd w:val="clear" w:color="auto" w:fill="FFFFFF"/>
        </w:rPr>
      </w:pPr>
      <w:r w:rsidRPr="004716E0">
        <w:rPr>
          <w:rFonts w:asciiTheme="minorHAnsi" w:hAnsiTheme="minorHAnsi"/>
          <w:b/>
          <w:bCs/>
          <w:color w:val="000000" w:themeColor="text1"/>
          <w:shd w:val="clear" w:color="auto" w:fill="FFFFFF"/>
        </w:rPr>
        <w:t>Små kommuner best for barn</w:t>
      </w:r>
    </w:p>
    <w:p w14:paraId="34400AC6" w14:textId="6ADAE3A0" w:rsidR="00FC0E1E" w:rsidRPr="00605037" w:rsidRDefault="00FC0E1E" w:rsidP="00605037">
      <w:pPr>
        <w:pStyle w:val="NormalWeb"/>
        <w:shd w:val="clear" w:color="auto" w:fill="FFFFFF"/>
        <w:spacing w:before="0" w:beforeAutospacing="0" w:after="0" w:afterAutospacing="0"/>
        <w:textAlignment w:val="baseline"/>
        <w:rPr>
          <w:rFonts w:asciiTheme="minorHAnsi" w:hAnsiTheme="minorHAnsi" w:cs="Calibri"/>
          <w:color w:val="000000" w:themeColor="text1"/>
          <w:bdr w:val="none" w:sz="0" w:space="0" w:color="auto" w:frame="1"/>
        </w:rPr>
      </w:pPr>
      <w:r w:rsidRPr="004716E0">
        <w:rPr>
          <w:rFonts w:asciiTheme="minorHAnsi" w:hAnsiTheme="minorHAnsi" w:cs="Calibri"/>
          <w:color w:val="000000" w:themeColor="text1"/>
          <w:bdr w:val="none" w:sz="0" w:space="0" w:color="auto" w:frame="1"/>
        </w:rPr>
        <w:t>Ni av de ti kommunene som tilbyr best tjenestetilbud for barn og unge er små kommuner med innbyggertall under 10.000. Salangen kommune troner altså øverst, etterfulgt av Eidfjord (</w:t>
      </w:r>
      <w:proofErr w:type="spellStart"/>
      <w:r w:rsidRPr="004716E0">
        <w:rPr>
          <w:rFonts w:asciiTheme="minorHAnsi" w:hAnsiTheme="minorHAnsi" w:cs="Calibri"/>
          <w:color w:val="000000" w:themeColor="text1"/>
          <w:bdr w:val="none" w:sz="0" w:space="0" w:color="auto" w:frame="1"/>
        </w:rPr>
        <w:t>Vestland</w:t>
      </w:r>
      <w:proofErr w:type="spellEnd"/>
      <w:r w:rsidRPr="004716E0">
        <w:rPr>
          <w:rFonts w:asciiTheme="minorHAnsi" w:hAnsiTheme="minorHAnsi" w:cs="Calibri"/>
          <w:color w:val="000000" w:themeColor="text1"/>
          <w:bdr w:val="none" w:sz="0" w:space="0" w:color="auto" w:frame="1"/>
        </w:rPr>
        <w:t>), Høylandet (Trøndelag), Åseral (Agder), Nore og Uvdal (Buskerud),</w:t>
      </w:r>
      <w:r w:rsidRPr="004716E0">
        <w:rPr>
          <w:rStyle w:val="Overskrift1Tegn"/>
          <w:rFonts w:asciiTheme="minorHAnsi" w:hAnsiTheme="minorHAnsi"/>
          <w:color w:val="000000" w:themeColor="text1"/>
          <w:sz w:val="24"/>
          <w:szCs w:val="24"/>
          <w:shd w:val="clear" w:color="auto" w:fill="FFFFFF"/>
        </w:rPr>
        <w:t xml:space="preserve"> </w:t>
      </w:r>
      <w:proofErr w:type="spellStart"/>
      <w:r w:rsidRPr="004716E0">
        <w:rPr>
          <w:rStyle w:val="normaltextrun"/>
          <w:rFonts w:asciiTheme="minorHAnsi" w:eastAsiaTheme="majorEastAsia" w:hAnsiTheme="minorHAnsi"/>
          <w:color w:val="000000" w:themeColor="text1"/>
          <w:shd w:val="clear" w:color="auto" w:fill="FFFFFF"/>
        </w:rPr>
        <w:t>Unjárga</w:t>
      </w:r>
      <w:proofErr w:type="spellEnd"/>
      <w:r w:rsidRPr="004716E0">
        <w:rPr>
          <w:rStyle w:val="normaltextrun"/>
          <w:rFonts w:asciiTheme="minorHAnsi" w:eastAsiaTheme="majorEastAsia" w:hAnsiTheme="minorHAnsi"/>
          <w:color w:val="000000" w:themeColor="text1"/>
          <w:shd w:val="clear" w:color="auto" w:fill="FFFFFF"/>
        </w:rPr>
        <w:t>-Nesseby (Finnmark), Sømna (Nordland), Lyngen (Troms), Sør-Aurdal (Innlandet) og Tokke (Telemark)</w:t>
      </w:r>
      <w:r w:rsidRPr="004716E0">
        <w:rPr>
          <w:rFonts w:asciiTheme="minorHAnsi" w:hAnsiTheme="minorHAnsi" w:cs="Calibri"/>
          <w:color w:val="000000" w:themeColor="text1"/>
          <w:bdr w:val="none" w:sz="0" w:space="0" w:color="auto" w:frame="1"/>
        </w:rPr>
        <w:t>. Eidfjord er den eneste kommunen på topp som er kategorisert som stor.</w:t>
      </w:r>
    </w:p>
    <w:p w14:paraId="410562EE" w14:textId="77777777" w:rsidR="00FC0E1E" w:rsidRPr="004716E0" w:rsidRDefault="00FC0E1E" w:rsidP="00FC0E1E">
      <w:pPr>
        <w:spacing w:after="160"/>
        <w:rPr>
          <w:rFonts w:asciiTheme="minorHAnsi" w:eastAsia="Calibri" w:hAnsiTheme="minorHAnsi" w:cs="Calibri"/>
          <w:color w:val="000000" w:themeColor="text1"/>
        </w:rPr>
      </w:pPr>
    </w:p>
    <w:p w14:paraId="61B17FB4" w14:textId="20944A5B" w:rsidR="00FC0E1E" w:rsidRPr="004716E0" w:rsidRDefault="00FC0E1E" w:rsidP="00FC0E1E">
      <w:pPr>
        <w:spacing w:after="160"/>
        <w:rPr>
          <w:rFonts w:asciiTheme="minorHAnsi" w:eastAsia="Calibri" w:hAnsiTheme="minorHAnsi" w:cs="Calibri"/>
          <w:b/>
          <w:bCs/>
          <w:color w:val="000000" w:themeColor="text1"/>
        </w:rPr>
      </w:pPr>
      <w:r w:rsidRPr="004716E0">
        <w:rPr>
          <w:rFonts w:asciiTheme="minorHAnsi" w:eastAsia="Calibri" w:hAnsiTheme="minorHAnsi" w:cs="Calibri"/>
          <w:b/>
          <w:bCs/>
          <w:color w:val="000000" w:themeColor="text1"/>
        </w:rPr>
        <w:t>10 på bunn-kommunene scorer dårlig på alle fem sektorer</w:t>
      </w:r>
    </w:p>
    <w:p w14:paraId="1B28A7AA" w14:textId="02F72874" w:rsidR="00FC0E1E" w:rsidRPr="004716E0" w:rsidRDefault="00FC0E1E" w:rsidP="00FC0E1E">
      <w:pPr>
        <w:rPr>
          <w:rFonts w:asciiTheme="minorHAnsi" w:hAnsiTheme="minorHAnsi" w:cs="Calibri"/>
          <w:color w:val="000000" w:themeColor="text1"/>
          <w:bdr w:val="none" w:sz="0" w:space="0" w:color="auto" w:frame="1"/>
        </w:rPr>
      </w:pPr>
      <w:r w:rsidRPr="004716E0">
        <w:rPr>
          <w:rFonts w:asciiTheme="minorHAnsi" w:hAnsiTheme="minorHAnsi"/>
          <w:color w:val="000000" w:themeColor="text1"/>
          <w:shd w:val="clear" w:color="auto" w:fill="FFFFFF"/>
        </w:rPr>
        <w:t xml:space="preserve">På bunn finner vi (i stigende rekkefølge) </w:t>
      </w:r>
      <w:r w:rsidRPr="004716E0">
        <w:rPr>
          <w:rFonts w:asciiTheme="minorHAnsi" w:hAnsiTheme="minorHAnsi" w:cs="Calibri"/>
          <w:color w:val="000000" w:themeColor="text1"/>
          <w:bdr w:val="none" w:sz="0" w:space="0" w:color="auto" w:frame="1"/>
        </w:rPr>
        <w:t xml:space="preserve">Rælingen (Akershus) på sisteplass, Nes (Akershus), Hå (Rogaland), Nannestad (Akershus) og Grue (Innlandet), Herøy (Møre og </w:t>
      </w:r>
      <w:r w:rsidRPr="004716E0">
        <w:rPr>
          <w:rFonts w:asciiTheme="minorHAnsi" w:hAnsiTheme="minorHAnsi" w:cs="Calibri"/>
          <w:color w:val="000000" w:themeColor="text1"/>
          <w:bdr w:val="none" w:sz="0" w:space="0" w:color="auto" w:frame="1"/>
        </w:rPr>
        <w:lastRenderedPageBreak/>
        <w:t>Romsdal), Giske (Møre og Romsdal), Rauma (Møre og Romsdal), Nittedal (Akershus) og Lillestrøm (Akershus</w:t>
      </w:r>
      <w:r w:rsidR="00A657A4">
        <w:rPr>
          <w:rFonts w:asciiTheme="minorHAnsi" w:hAnsiTheme="minorHAnsi" w:cs="Calibri"/>
          <w:color w:val="000000" w:themeColor="text1"/>
          <w:bdr w:val="none" w:sz="0" w:space="0" w:color="auto" w:frame="1"/>
        </w:rPr>
        <w:t>)</w:t>
      </w:r>
      <w:r w:rsidRPr="004716E0">
        <w:rPr>
          <w:rFonts w:asciiTheme="minorHAnsi" w:hAnsiTheme="minorHAnsi" w:cs="Calibri"/>
          <w:color w:val="000000" w:themeColor="text1"/>
          <w:bdr w:val="none" w:sz="0" w:space="0" w:color="auto" w:frame="1"/>
        </w:rPr>
        <w:t xml:space="preserve">. </w:t>
      </w:r>
    </w:p>
    <w:p w14:paraId="14E0648E" w14:textId="77777777" w:rsidR="00FC0E1E" w:rsidRPr="004716E0" w:rsidRDefault="00FC0E1E" w:rsidP="00FC0E1E">
      <w:pPr>
        <w:rPr>
          <w:rFonts w:asciiTheme="minorHAnsi" w:hAnsiTheme="minorHAnsi" w:cs="Calibri"/>
          <w:color w:val="000000" w:themeColor="text1"/>
          <w:bdr w:val="none" w:sz="0" w:space="0" w:color="auto" w:frame="1"/>
        </w:rPr>
      </w:pPr>
    </w:p>
    <w:p w14:paraId="0F1425A5" w14:textId="76511B61" w:rsidR="00FC0E1E" w:rsidRPr="004716E0" w:rsidRDefault="00FC0E1E" w:rsidP="00FC0E1E">
      <w:pPr>
        <w:rPr>
          <w:rFonts w:asciiTheme="minorHAnsi" w:hAnsiTheme="minorHAnsi" w:cs="Calibri"/>
          <w:color w:val="000000" w:themeColor="text1"/>
          <w:bdr w:val="none" w:sz="0" w:space="0" w:color="auto" w:frame="1"/>
        </w:rPr>
      </w:pPr>
      <w:r w:rsidRPr="004716E0">
        <w:rPr>
          <w:rFonts w:asciiTheme="minorHAnsi" w:hAnsiTheme="minorHAnsi"/>
          <w:color w:val="000000" w:themeColor="text1"/>
          <w:shd w:val="clear" w:color="auto" w:fill="FFFFFF"/>
        </w:rPr>
        <w:t>Blant kommunene nederst på lista scorer de aller fleste generelt lavt på alle de fem sektorene. Det er verdt å merke seg at fem av de ti kommunene på bunn ligger i dagens Akershus, (tidligere Viken), samt tre i Møre og Romsdal.</w:t>
      </w:r>
    </w:p>
    <w:p w14:paraId="239C9EA3" w14:textId="77777777" w:rsidR="00FC0E1E" w:rsidRPr="004716E0" w:rsidRDefault="00FC0E1E" w:rsidP="00FC0E1E">
      <w:pPr>
        <w:rPr>
          <w:rFonts w:asciiTheme="minorHAnsi" w:hAnsiTheme="minorHAnsi"/>
          <w:color w:val="000000" w:themeColor="text1"/>
          <w:shd w:val="clear" w:color="auto" w:fill="FFFFFF"/>
        </w:rPr>
      </w:pPr>
    </w:p>
    <w:p w14:paraId="1CDA8E88" w14:textId="77777777" w:rsidR="00FC0E1E" w:rsidRPr="004716E0" w:rsidRDefault="00FC0E1E" w:rsidP="00FC0E1E">
      <w:pPr>
        <w:spacing w:after="160"/>
        <w:rPr>
          <w:rFonts w:asciiTheme="minorHAnsi" w:eastAsia="Calibri" w:hAnsiTheme="minorHAnsi" w:cs="Calibri"/>
          <w:color w:val="000000" w:themeColor="text1"/>
        </w:rPr>
      </w:pPr>
      <w:r w:rsidRPr="004716E0">
        <w:rPr>
          <w:rFonts w:asciiTheme="minorHAnsi" w:hAnsiTheme="minorHAnsi"/>
          <w:color w:val="000000" w:themeColor="text1"/>
        </w:rPr>
        <w:t xml:space="preserve">Analysen viser også at befolkningstette områder gjør det dårligere enn landssnittet. Av de 21 kommunene i dagens Akershus, så scorer hele 19 lavt. Unntaket er Hurdal og Ås kommune. </w:t>
      </w:r>
      <w:r w:rsidRPr="004716E0">
        <w:rPr>
          <w:rFonts w:asciiTheme="minorHAnsi" w:eastAsia="Calibri" w:hAnsiTheme="minorHAnsi" w:cs="Calibri"/>
          <w:color w:val="000000" w:themeColor="text1"/>
        </w:rPr>
        <w:t xml:space="preserve">Lillestrøm kan skilte med en høy score på barnevern-sektoren, tross lave scorer på de andre sektorene. </w:t>
      </w:r>
    </w:p>
    <w:p w14:paraId="5296429F" w14:textId="4565E762" w:rsidR="00FC0E1E" w:rsidRPr="004716E0" w:rsidRDefault="00FC0E1E" w:rsidP="00FC0E1E">
      <w:pPr>
        <w:rPr>
          <w:rFonts w:asciiTheme="minorHAnsi" w:eastAsia="Calibri" w:hAnsiTheme="minorHAnsi" w:cs="Calibri"/>
          <w:b/>
          <w:bCs/>
          <w:color w:val="000000" w:themeColor="text1"/>
        </w:rPr>
      </w:pPr>
      <w:r w:rsidRPr="004716E0">
        <w:rPr>
          <w:rFonts w:asciiTheme="minorHAnsi" w:eastAsia="Calibri" w:hAnsiTheme="minorHAnsi" w:cs="Calibri"/>
          <w:b/>
          <w:bCs/>
          <w:color w:val="000000" w:themeColor="text1"/>
        </w:rPr>
        <w:t>Rælingen på bunn</w:t>
      </w:r>
    </w:p>
    <w:p w14:paraId="2EA29881" w14:textId="4D60599D" w:rsidR="00FC0E1E" w:rsidRPr="004716E0" w:rsidRDefault="00FC0E1E" w:rsidP="00FC0E1E">
      <w:pPr>
        <w:rPr>
          <w:rFonts w:asciiTheme="minorHAnsi" w:eastAsia="Calibri" w:hAnsiTheme="minorHAnsi" w:cs="Calibri"/>
          <w:b/>
          <w:bCs/>
          <w:color w:val="000000" w:themeColor="text1"/>
        </w:rPr>
      </w:pPr>
      <w:r w:rsidRPr="004716E0">
        <w:rPr>
          <w:rFonts w:asciiTheme="minorHAnsi" w:eastAsia="Calibri" w:hAnsiTheme="minorHAnsi" w:cs="Calibri"/>
          <w:color w:val="000000" w:themeColor="text1"/>
        </w:rPr>
        <w:t>Rælingen scorer spesielt lavt innenfor barnevern-sektoren og helsetjenester, og ligger også relativt lavt på grunnskoletilbudene.</w:t>
      </w:r>
    </w:p>
    <w:p w14:paraId="188E12E6" w14:textId="60BE190E" w:rsidR="00FC0E1E" w:rsidRPr="004716E0" w:rsidRDefault="00FC0E1E" w:rsidP="00FC0E1E">
      <w:pPr>
        <w:rPr>
          <w:rFonts w:asciiTheme="minorHAnsi" w:hAnsiTheme="minorHAnsi" w:cs="Arial"/>
          <w:color w:val="000000" w:themeColor="text1"/>
          <w:shd w:val="clear" w:color="auto" w:fill="FFFFFF"/>
        </w:rPr>
      </w:pPr>
      <w:r w:rsidRPr="004716E0">
        <w:rPr>
          <w:rFonts w:asciiTheme="minorHAnsi" w:hAnsiTheme="minorHAnsi" w:cs="Arial"/>
          <w:color w:val="000000" w:themeColor="text1"/>
          <w:shd w:val="clear" w:color="auto" w:fill="FFFFFF"/>
        </w:rPr>
        <w:t xml:space="preserve">Det er viktig å poengtere at kommuner som sanker få poeng i denne analysen ikke nødvendigvis leverer utilstrekkelige tilbud og tjenester, men at nivået er lavere sammenlignet med nivået i andre kommuner. </w:t>
      </w:r>
    </w:p>
    <w:p w14:paraId="3E976BC9" w14:textId="77777777" w:rsidR="00FC0E1E" w:rsidRPr="004716E0" w:rsidRDefault="00FC0E1E" w:rsidP="00FC0E1E">
      <w:pPr>
        <w:rPr>
          <w:rFonts w:asciiTheme="minorHAnsi" w:hAnsiTheme="minorHAnsi" w:cs="Arial"/>
          <w:color w:val="000000" w:themeColor="text1"/>
          <w:shd w:val="clear" w:color="auto" w:fill="FFFFFF"/>
        </w:rPr>
      </w:pPr>
    </w:p>
    <w:p w14:paraId="200447D3" w14:textId="77777777" w:rsidR="00FC0E1E" w:rsidRPr="004716E0" w:rsidRDefault="00FC0E1E" w:rsidP="00FC0E1E">
      <w:pPr>
        <w:rPr>
          <w:rFonts w:asciiTheme="minorHAnsi" w:hAnsiTheme="minorHAnsi" w:cs="Arial"/>
          <w:b/>
          <w:bCs/>
          <w:color w:val="000000" w:themeColor="text1"/>
          <w:shd w:val="clear" w:color="auto" w:fill="FFFFFF"/>
        </w:rPr>
      </w:pPr>
      <w:r w:rsidRPr="004716E0">
        <w:rPr>
          <w:rFonts w:asciiTheme="minorHAnsi" w:hAnsiTheme="minorHAnsi" w:cs="Arial"/>
          <w:b/>
          <w:bCs/>
          <w:color w:val="000000" w:themeColor="text1"/>
          <w:shd w:val="clear" w:color="auto" w:fill="FFFFFF"/>
        </w:rPr>
        <w:t>Rogaland scorer lavest av fylkene</w:t>
      </w:r>
    </w:p>
    <w:p w14:paraId="5F442EA9" w14:textId="77777777" w:rsidR="00FC0E1E" w:rsidRPr="004716E0" w:rsidRDefault="00FC0E1E" w:rsidP="00FC0E1E">
      <w:pPr>
        <w:rPr>
          <w:rStyle w:val="Sterk"/>
          <w:rFonts w:asciiTheme="minorHAnsi" w:hAnsiTheme="minorHAnsi" w:cs="Arial"/>
          <w:color w:val="000000" w:themeColor="text1"/>
          <w:shd w:val="clear" w:color="auto" w:fill="FFFFFF"/>
        </w:rPr>
      </w:pPr>
      <w:r w:rsidRPr="004716E0">
        <w:rPr>
          <w:rStyle w:val="Sterk"/>
          <w:rFonts w:asciiTheme="minorHAnsi" w:eastAsiaTheme="majorEastAsia" w:hAnsiTheme="minorHAnsi" w:cs="Segoe UI"/>
          <w:b w:val="0"/>
          <w:bCs w:val="0"/>
        </w:rPr>
        <w:t xml:space="preserve">Et stort antall kommuner i Rogaland havner langt ned i Kommuneanalysen. Rogaland er det fylket hvor kommunene i snitt gjør det dårligst av 336 kommuner i analysen - til tross for at de fleste har gjennomsnittlig god økonomi. </w:t>
      </w:r>
    </w:p>
    <w:p w14:paraId="55BF0566" w14:textId="77777777" w:rsidR="00FC0E1E" w:rsidRPr="004716E0" w:rsidRDefault="00FC0E1E" w:rsidP="00FC0E1E">
      <w:pPr>
        <w:pStyle w:val="NormalWeb"/>
        <w:rPr>
          <w:rFonts w:asciiTheme="minorHAnsi" w:hAnsiTheme="minorHAnsi" w:cs="Segoe UI"/>
        </w:rPr>
      </w:pPr>
      <w:r w:rsidRPr="004716E0">
        <w:rPr>
          <w:rFonts w:asciiTheme="minorHAnsi" w:hAnsiTheme="minorHAnsi" w:cstheme="minorHAnsi"/>
        </w:rPr>
        <w:t>Rogaland gjør det i snitt dårligere enn landsgjennomsnittet innen barnehage, grunnskole, barnevern og helsetjenester, men ligger over landsgjennomsnittet på kulturtilbud.</w:t>
      </w:r>
    </w:p>
    <w:p w14:paraId="1391BA11" w14:textId="67AB5AA6" w:rsidR="00FC0E1E" w:rsidRPr="004716E0" w:rsidRDefault="00FC0E1E" w:rsidP="00FC0E1E">
      <w:pPr>
        <w:spacing w:after="160"/>
        <w:rPr>
          <w:rFonts w:asciiTheme="minorHAnsi" w:hAnsiTheme="minorHAnsi" w:cs="Calibri"/>
          <w:b/>
          <w:bCs/>
          <w:color w:val="000000" w:themeColor="text1"/>
          <w:bdr w:val="none" w:sz="0" w:space="0" w:color="auto" w:frame="1"/>
        </w:rPr>
      </w:pPr>
      <w:r w:rsidRPr="004716E0">
        <w:rPr>
          <w:rFonts w:asciiTheme="minorHAnsi" w:hAnsiTheme="minorHAnsi" w:cs="Calibri"/>
          <w:b/>
          <w:bCs/>
          <w:color w:val="000000" w:themeColor="text1"/>
          <w:bdr w:val="none" w:sz="0" w:space="0" w:color="auto" w:frame="1"/>
        </w:rPr>
        <w:t>Kommunebudsjettet avslører store forskjeller</w:t>
      </w:r>
    </w:p>
    <w:p w14:paraId="19430775" w14:textId="552B721C" w:rsidR="00FC0E1E" w:rsidRPr="004716E0" w:rsidRDefault="00FC0E1E" w:rsidP="00FC0E1E">
      <w:pPr>
        <w:spacing w:after="160"/>
        <w:rPr>
          <w:rFonts w:asciiTheme="minorHAnsi" w:hAnsiTheme="minorHAnsi" w:cs="Calibri"/>
          <w:b/>
          <w:bCs/>
          <w:color w:val="000000" w:themeColor="text1"/>
          <w:bdr w:val="none" w:sz="0" w:space="0" w:color="auto" w:frame="1"/>
        </w:rPr>
      </w:pPr>
      <w:r w:rsidRPr="004716E0">
        <w:rPr>
          <w:rFonts w:asciiTheme="minorHAnsi" w:hAnsiTheme="minorHAnsi" w:cs="Calibri"/>
          <w:color w:val="000000" w:themeColor="text1"/>
          <w:bdr w:val="none" w:sz="0" w:space="0" w:color="auto" w:frame="1"/>
        </w:rPr>
        <w:t xml:space="preserve">Nøkkeltallene for kommunenes budsjettprioriteringer viser at hver kommune i snitt bruker 29 prosent av det totale kommunebudsjettet på barn og unge. Her er det store ulikheter: Kommunen som bruker størst andel av budsjettet på barn og unge er Skaun kommune med hele 45 prosent. På bunn ligger Etnedal kommune som setter av kun 11 prosent av sitt totale budsjett. </w:t>
      </w:r>
    </w:p>
    <w:p w14:paraId="4F84D38F" w14:textId="39A2210B" w:rsidR="00FC0E1E" w:rsidRPr="004716E0" w:rsidRDefault="00FC0E1E" w:rsidP="00FC0E1E">
      <w:pPr>
        <w:pStyle w:val="Listeavsnitt"/>
        <w:numPr>
          <w:ilvl w:val="0"/>
          <w:numId w:val="9"/>
        </w:numPr>
        <w:spacing w:after="160"/>
        <w:rPr>
          <w:rFonts w:asciiTheme="minorHAnsi" w:hAnsiTheme="minorHAnsi" w:cs="Calibri"/>
          <w:color w:val="000000" w:themeColor="text1"/>
          <w:bdr w:val="none" w:sz="0" w:space="0" w:color="auto" w:frame="1"/>
        </w:rPr>
      </w:pPr>
      <w:r w:rsidRPr="004716E0">
        <w:rPr>
          <w:rStyle w:val="xxnormaltextrun"/>
          <w:rFonts w:asciiTheme="minorHAnsi" w:eastAsiaTheme="majorEastAsia" w:hAnsiTheme="minorHAnsi" w:cs="Calibri"/>
          <w:i/>
          <w:iCs/>
          <w:color w:val="000000" w:themeColor="text1"/>
        </w:rPr>
        <w:t xml:space="preserve">Alle kommuner er pliktige til å vurdere hvordan hensynet til barnets beste ivaretas i budsjettprosessene sine. Vi oppfordrer alle til å involvere barn og unge i større grad, istedenfor å «voksengjette» hva de trenger. En god måte kan være et tett </w:t>
      </w:r>
      <w:r w:rsidRPr="004716E0">
        <w:rPr>
          <w:rStyle w:val="normaltextrun"/>
          <w:rFonts w:asciiTheme="minorHAnsi" w:eastAsiaTheme="majorEastAsia" w:hAnsiTheme="minorHAnsi" w:cs="Segoe UI"/>
          <w:i/>
          <w:iCs/>
          <w:color w:val="000000" w:themeColor="text1"/>
        </w:rPr>
        <w:t>samarbeid med ungdomsrådet i kommunen, som alle kommuner er lovpålagt å ha,</w:t>
      </w:r>
      <w:r w:rsidRPr="004716E0">
        <w:rPr>
          <w:rStyle w:val="normaltextrun"/>
          <w:rFonts w:asciiTheme="minorHAnsi" w:eastAsiaTheme="majorEastAsia" w:hAnsiTheme="minorHAnsi" w:cs="Segoe UI"/>
          <w:color w:val="000000" w:themeColor="text1"/>
        </w:rPr>
        <w:t xml:space="preserve"> forklarer Bondø.</w:t>
      </w:r>
    </w:p>
    <w:p w14:paraId="47D6262D" w14:textId="3C060F46" w:rsidR="00FC0E1E" w:rsidRPr="004716E0" w:rsidRDefault="00FC0E1E" w:rsidP="00FC0E1E">
      <w:pPr>
        <w:pStyle w:val="NormalWeb"/>
        <w:spacing w:before="0" w:beforeAutospacing="0" w:after="120" w:afterAutospacing="0"/>
        <w:rPr>
          <w:rFonts w:asciiTheme="minorHAnsi" w:hAnsiTheme="minorHAnsi"/>
          <w:color w:val="000000" w:themeColor="text1"/>
        </w:rPr>
      </w:pPr>
      <w:r w:rsidRPr="004716E0">
        <w:rPr>
          <w:rFonts w:asciiTheme="minorHAnsi" w:hAnsiTheme="minorHAnsi"/>
          <w:color w:val="000000" w:themeColor="text1"/>
        </w:rPr>
        <w:t>UNICEF understreker at analysen ikke er ment for å henge ut eller premiere kommuner, men å skape debatt om forskjellene i barns oppvekstsvilkår og øke bevissthet om barns rettigheter i kommunene før neste budsjettrunde.</w:t>
      </w:r>
    </w:p>
    <w:p w14:paraId="29727A65" w14:textId="77777777" w:rsidR="00FC0E1E" w:rsidRPr="004716E0" w:rsidRDefault="00FC0E1E" w:rsidP="00FC0E1E">
      <w:pPr>
        <w:pStyle w:val="NormalWeb"/>
        <w:shd w:val="clear" w:color="auto" w:fill="FFFFFF"/>
        <w:spacing w:before="0" w:beforeAutospacing="0" w:after="0" w:afterAutospacing="0"/>
        <w:textAlignment w:val="baseline"/>
        <w:rPr>
          <w:rFonts w:asciiTheme="minorHAnsi" w:hAnsiTheme="minorHAnsi" w:cs="Calibri"/>
          <w:color w:val="000000" w:themeColor="text1"/>
          <w:bdr w:val="none" w:sz="0" w:space="0" w:color="auto" w:frame="1"/>
        </w:rPr>
      </w:pPr>
    </w:p>
    <w:p w14:paraId="4A811194" w14:textId="1D0F182F" w:rsidR="00FC0E1E" w:rsidRPr="004716E0" w:rsidRDefault="00FC0E1E" w:rsidP="00FC0E1E">
      <w:pPr>
        <w:pStyle w:val="NormalWeb"/>
        <w:spacing w:before="0" w:beforeAutospacing="0" w:after="120" w:afterAutospacing="0"/>
        <w:rPr>
          <w:rFonts w:asciiTheme="minorHAnsi" w:hAnsiTheme="minorHAnsi"/>
          <w:b/>
          <w:bCs/>
          <w:color w:val="0FAEEF"/>
        </w:rPr>
      </w:pPr>
      <w:r w:rsidRPr="004716E0">
        <w:rPr>
          <w:rFonts w:asciiTheme="minorHAnsi" w:hAnsiTheme="minorHAnsi"/>
          <w:b/>
          <w:bCs/>
          <w:color w:val="0FAEEF"/>
        </w:rPr>
        <w:t>UNICEF Norges tre forslag til løsninger</w:t>
      </w:r>
    </w:p>
    <w:p w14:paraId="548C338E" w14:textId="77777777" w:rsidR="00FC0E1E" w:rsidRPr="004716E0" w:rsidRDefault="00FC0E1E" w:rsidP="00FC0E1E">
      <w:pPr>
        <w:spacing w:after="160"/>
        <w:rPr>
          <w:rFonts w:asciiTheme="minorHAnsi" w:hAnsiTheme="minorHAnsi" w:cstheme="minorHAnsi"/>
        </w:rPr>
      </w:pPr>
      <w:r w:rsidRPr="004716E0">
        <w:rPr>
          <w:rFonts w:asciiTheme="minorHAnsi" w:hAnsiTheme="minorHAnsi" w:cstheme="minorHAnsi"/>
        </w:rPr>
        <w:lastRenderedPageBreak/>
        <w:t>For det første bør flere av barnerettighetene lovfestes mer konkret, slik at alle kommunen er nødt til å ha et likere tilbud</w:t>
      </w:r>
    </w:p>
    <w:p w14:paraId="21A2B1CB" w14:textId="77777777" w:rsidR="00FC0E1E" w:rsidRPr="004716E0" w:rsidRDefault="00FC0E1E" w:rsidP="00FC0E1E">
      <w:pPr>
        <w:spacing w:after="160"/>
        <w:rPr>
          <w:rFonts w:asciiTheme="minorHAnsi" w:hAnsiTheme="minorHAnsi" w:cstheme="minorHAnsi"/>
        </w:rPr>
      </w:pPr>
      <w:r w:rsidRPr="004716E0">
        <w:rPr>
          <w:rFonts w:asciiTheme="minorHAnsi" w:hAnsiTheme="minorHAnsi" w:cstheme="minorHAnsi"/>
        </w:rPr>
        <w:t>For det andre bør en del av budsjettet i kommunen øremerkes barn og unge.</w:t>
      </w:r>
    </w:p>
    <w:p w14:paraId="7BB8A87E" w14:textId="7129BA35" w:rsidR="00FC0E1E" w:rsidRPr="00C26A22" w:rsidRDefault="00FC0E1E" w:rsidP="00FC0E1E">
      <w:pPr>
        <w:spacing w:after="160"/>
        <w:rPr>
          <w:rFonts w:asciiTheme="minorHAnsi" w:eastAsia="Calibri" w:hAnsiTheme="minorHAnsi" w:cstheme="minorHAnsi"/>
        </w:rPr>
      </w:pPr>
      <w:r w:rsidRPr="004716E0">
        <w:rPr>
          <w:rFonts w:asciiTheme="minorHAnsi" w:hAnsiTheme="minorHAnsi" w:cstheme="minorHAnsi"/>
        </w:rPr>
        <w:t>For det tredje må kommunen vurdere hensynet til barn og unge når selve budsjettet utformes. For å få til dette er de nødt til å involvere barn og unge for å hindre voksengjetting.</w:t>
      </w:r>
    </w:p>
    <w:p w14:paraId="47FFA2B2" w14:textId="77777777" w:rsidR="00FC0E1E" w:rsidRPr="004716E0" w:rsidRDefault="00FC0E1E" w:rsidP="00FC0E1E">
      <w:pPr>
        <w:rPr>
          <w:rFonts w:asciiTheme="minorHAnsi" w:hAnsiTheme="minorHAnsi" w:cs="Arial"/>
          <w:color w:val="000000" w:themeColor="text1"/>
          <w:shd w:val="clear" w:color="auto" w:fill="FFFFFF"/>
        </w:rPr>
      </w:pPr>
    </w:p>
    <w:p w14:paraId="6F5BED7F" w14:textId="2B6419DB" w:rsidR="00FC0E1E" w:rsidRPr="004716E0" w:rsidRDefault="00FC0E1E" w:rsidP="00FC0E1E">
      <w:pPr>
        <w:spacing w:after="160"/>
        <w:rPr>
          <w:rFonts w:asciiTheme="minorHAnsi" w:hAnsiTheme="minorHAnsi"/>
          <w:b/>
          <w:bCs/>
          <w:color w:val="0FAEEF"/>
        </w:rPr>
      </w:pPr>
      <w:r w:rsidRPr="004716E0">
        <w:rPr>
          <w:rFonts w:asciiTheme="minorHAnsi" w:hAnsiTheme="minorHAnsi"/>
          <w:b/>
          <w:bCs/>
          <w:color w:val="0FAEEF"/>
        </w:rPr>
        <w:t xml:space="preserve">Fakta om </w:t>
      </w:r>
      <w:proofErr w:type="spellStart"/>
      <w:r w:rsidRPr="004716E0">
        <w:rPr>
          <w:rFonts w:asciiTheme="minorHAnsi" w:hAnsiTheme="minorHAnsi"/>
          <w:b/>
          <w:bCs/>
          <w:color w:val="0FAEEF"/>
        </w:rPr>
        <w:t>UNICEFs</w:t>
      </w:r>
      <w:proofErr w:type="spellEnd"/>
      <w:r w:rsidRPr="004716E0">
        <w:rPr>
          <w:rFonts w:asciiTheme="minorHAnsi" w:hAnsiTheme="minorHAnsi"/>
          <w:b/>
          <w:bCs/>
          <w:color w:val="0FAEEF"/>
        </w:rPr>
        <w:t xml:space="preserve"> Kommuneanalyse</w:t>
      </w:r>
    </w:p>
    <w:p w14:paraId="54EAF12F" w14:textId="74780DC8" w:rsidR="00FC0E1E" w:rsidRPr="004716E0" w:rsidRDefault="00FC0E1E" w:rsidP="00FC0E1E">
      <w:pPr>
        <w:rPr>
          <w:rFonts w:asciiTheme="minorHAnsi" w:hAnsiTheme="minorHAnsi"/>
        </w:rPr>
      </w:pPr>
      <w:r w:rsidRPr="004716E0">
        <w:rPr>
          <w:rFonts w:asciiTheme="minorHAnsi" w:hAnsiTheme="minorHAnsi"/>
        </w:rPr>
        <w:t xml:space="preserve">Formålet er å belyse norske kommuners pengebruk på tjenester til barn og unge mellom 0 og 20 år. Ved å se på budsjettene får vi et innblikk i prioriteringer kommunene gjør for barn og unges oppvekst rundt omring i landet. </w:t>
      </w:r>
    </w:p>
    <w:p w14:paraId="1A2F9AD3" w14:textId="77777777" w:rsidR="00FC0E1E" w:rsidRPr="004716E0" w:rsidRDefault="00FC0E1E" w:rsidP="00FC0E1E">
      <w:pPr>
        <w:rPr>
          <w:rFonts w:asciiTheme="minorHAnsi" w:hAnsiTheme="minorHAnsi"/>
        </w:rPr>
      </w:pPr>
    </w:p>
    <w:p w14:paraId="5A5A9EB6" w14:textId="538A899D" w:rsidR="00FC0E1E" w:rsidRPr="004716E0" w:rsidRDefault="00FC0E1E" w:rsidP="00FC0E1E">
      <w:pPr>
        <w:rPr>
          <w:rFonts w:asciiTheme="minorHAnsi" w:hAnsiTheme="minorHAnsi"/>
          <w:color w:val="000000" w:themeColor="text1"/>
        </w:rPr>
      </w:pPr>
      <w:r w:rsidRPr="004716E0">
        <w:rPr>
          <w:rFonts w:asciiTheme="minorHAnsi" w:hAnsiTheme="minorHAnsi"/>
          <w:color w:val="000000" w:themeColor="text1"/>
        </w:rPr>
        <w:t xml:space="preserve">Kommuneanalysen gir et øyeblikksbilde ettersom den er basert på </w:t>
      </w:r>
      <w:r w:rsidRPr="004716E0">
        <w:rPr>
          <w:rFonts w:asciiTheme="minorHAnsi" w:eastAsia="Calibri" w:hAnsiTheme="minorHAnsi" w:cs="Calibri"/>
          <w:color w:val="000000" w:themeColor="text1"/>
        </w:rPr>
        <w:t xml:space="preserve">innrapporterte KOSTRA-tall for året 2023 og ikke vil ta høyde for årlige variasjoner. </w:t>
      </w:r>
      <w:r w:rsidRPr="004716E0">
        <w:rPr>
          <w:rFonts w:asciiTheme="minorHAnsi" w:hAnsiTheme="minorHAnsi"/>
          <w:color w:val="000000" w:themeColor="text1"/>
        </w:rPr>
        <w:t xml:space="preserve">Det er 357 kommuner i Norge, og i årets rapport er det med 336 kommuner i totalrangeringen. </w:t>
      </w:r>
    </w:p>
    <w:p w14:paraId="55B4DA6F" w14:textId="77777777" w:rsidR="00FC0E1E" w:rsidRPr="004716E0" w:rsidRDefault="00FC0E1E" w:rsidP="00FC0E1E">
      <w:pPr>
        <w:rPr>
          <w:rFonts w:asciiTheme="minorHAnsi" w:hAnsiTheme="minorHAnsi"/>
          <w:color w:val="000000" w:themeColor="text1"/>
        </w:rPr>
      </w:pPr>
    </w:p>
    <w:p w14:paraId="6519D012" w14:textId="77777777" w:rsidR="00FC0E1E" w:rsidRPr="004716E0" w:rsidRDefault="00FC0E1E" w:rsidP="00FC0E1E">
      <w:pPr>
        <w:pStyle w:val="NormalWeb"/>
        <w:shd w:val="clear" w:color="auto" w:fill="FFFFFF"/>
        <w:spacing w:before="0" w:beforeAutospacing="0" w:after="0" w:afterAutospacing="0"/>
        <w:textAlignment w:val="baseline"/>
        <w:rPr>
          <w:rFonts w:asciiTheme="minorHAnsi" w:hAnsiTheme="minorHAnsi" w:cs="Calibri"/>
          <w:color w:val="000000" w:themeColor="text1"/>
          <w:bdr w:val="none" w:sz="0" w:space="0" w:color="auto" w:frame="1"/>
        </w:rPr>
      </w:pPr>
      <w:r w:rsidRPr="004716E0">
        <w:rPr>
          <w:rFonts w:asciiTheme="minorHAnsi" w:hAnsiTheme="minorHAnsi" w:cs="Calibri"/>
          <w:color w:val="000000" w:themeColor="text1"/>
          <w:bdr w:val="none" w:sz="0" w:space="0" w:color="auto" w:frame="1"/>
        </w:rPr>
        <w:t>Kommunenes statistikk er dynamisk. Små justeringer kan derfor ha oppstått i løpet av perioden vi har jobbet med analysen (juni – august 2024). UNICEF Norge hentet ut siste tabell for statistikk 15. juli 2024. </w:t>
      </w:r>
    </w:p>
    <w:p w14:paraId="39421931" w14:textId="77777777" w:rsidR="00FC0E1E" w:rsidRPr="004716E0" w:rsidRDefault="00FC0E1E" w:rsidP="00FC0E1E">
      <w:pPr>
        <w:pStyle w:val="NormalWeb"/>
        <w:shd w:val="clear" w:color="auto" w:fill="FFFFFF"/>
        <w:spacing w:before="0" w:beforeAutospacing="0" w:after="0" w:afterAutospacing="0"/>
        <w:textAlignment w:val="baseline"/>
        <w:rPr>
          <w:rFonts w:asciiTheme="minorHAnsi" w:hAnsiTheme="minorHAnsi" w:cs="Calibri"/>
          <w:color w:val="000000" w:themeColor="text1"/>
          <w:bdr w:val="none" w:sz="0" w:space="0" w:color="auto" w:frame="1"/>
        </w:rPr>
      </w:pPr>
    </w:p>
    <w:p w14:paraId="4EC73E9F" w14:textId="6EC274C4" w:rsidR="00CC5CF1" w:rsidRPr="00C26A22" w:rsidRDefault="00FC0E1E" w:rsidP="00C26A22">
      <w:pPr>
        <w:rPr>
          <w:rFonts w:asciiTheme="minorHAnsi" w:hAnsiTheme="minorHAnsi"/>
        </w:rPr>
      </w:pPr>
      <w:r>
        <w:rPr>
          <w:rFonts w:asciiTheme="minorHAnsi" w:hAnsiTheme="minorHAnsi"/>
          <w:noProof/>
          <w14:ligatures w14:val="standardContextual"/>
        </w:rPr>
        <w:drawing>
          <wp:inline distT="0" distB="0" distL="0" distR="0" wp14:anchorId="28C5E4A9" wp14:editId="4AE1F638">
            <wp:extent cx="2844000" cy="2844000"/>
            <wp:effectExtent l="0" t="0" r="1270" b="1270"/>
            <wp:docPr id="901880406" name="Bilde 2"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33209" name="Bilde 4" descr="Et bilde som inneholder tekst, skjermbilde, nummer, Font&#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inline>
        </w:drawing>
      </w:r>
      <w:r>
        <w:rPr>
          <w:rFonts w:asciiTheme="minorHAnsi" w:hAnsiTheme="minorHAnsi"/>
          <w:noProof/>
          <w14:ligatures w14:val="standardContextual"/>
        </w:rPr>
        <w:drawing>
          <wp:inline distT="0" distB="0" distL="0" distR="0" wp14:anchorId="59AF9F7A" wp14:editId="4186030E">
            <wp:extent cx="2844000" cy="2844000"/>
            <wp:effectExtent l="0" t="0" r="1270" b="1270"/>
            <wp:docPr id="53730964" name="Bilde 3"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15022" name="Bilde 3" descr="Et bilde som inneholder tekst, skjermbilde, nummer, Font&#10;&#10;Automatisk generer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inline>
        </w:drawing>
      </w:r>
    </w:p>
    <w:sectPr w:rsidR="00CC5CF1" w:rsidRPr="00C26A22" w:rsidSect="009802CC">
      <w:headerReference w:type="default" r:id="rId13"/>
      <w:pgSz w:w="11906" w:h="16838"/>
      <w:pgMar w:top="1417" w:right="1417" w:bottom="1417" w:left="1417" w:header="57"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C337B" w14:textId="77777777" w:rsidR="004A14D9" w:rsidRDefault="004A14D9">
      <w:r>
        <w:separator/>
      </w:r>
    </w:p>
  </w:endnote>
  <w:endnote w:type="continuationSeparator" w:id="0">
    <w:p w14:paraId="384995BB" w14:textId="77777777" w:rsidR="004A14D9" w:rsidRDefault="004A14D9">
      <w:r>
        <w:continuationSeparator/>
      </w:r>
    </w:p>
  </w:endnote>
  <w:endnote w:type="continuationNotice" w:id="1">
    <w:p w14:paraId="39C7BEE5" w14:textId="77777777" w:rsidR="004A14D9" w:rsidRDefault="004A1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50A80" w14:textId="77777777" w:rsidR="004A14D9" w:rsidRDefault="004A14D9">
      <w:r>
        <w:separator/>
      </w:r>
    </w:p>
  </w:footnote>
  <w:footnote w:type="continuationSeparator" w:id="0">
    <w:p w14:paraId="766971E5" w14:textId="77777777" w:rsidR="004A14D9" w:rsidRDefault="004A14D9">
      <w:r>
        <w:continuationSeparator/>
      </w:r>
    </w:p>
  </w:footnote>
  <w:footnote w:type="continuationNotice" w:id="1">
    <w:p w14:paraId="21F93552" w14:textId="77777777" w:rsidR="004A14D9" w:rsidRDefault="004A1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C2FA" w14:textId="77777777" w:rsidR="00603C63" w:rsidRDefault="009802CC">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62843"/>
    <w:multiLevelType w:val="hybridMultilevel"/>
    <w:tmpl w:val="F188AE14"/>
    <w:lvl w:ilvl="0" w:tplc="B01492B6">
      <w:start w:val="10"/>
      <w:numFmt w:val="bullet"/>
      <w:lvlText w:val="-"/>
      <w:lvlJc w:val="left"/>
      <w:pPr>
        <w:ind w:left="720" w:hanging="360"/>
      </w:pPr>
      <w:rPr>
        <w:rFonts w:ascii="Aptos" w:eastAsia="Times New Roman" w:hAnsi="Apto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D7D7318"/>
    <w:multiLevelType w:val="hybridMultilevel"/>
    <w:tmpl w:val="64DCB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2A5AA2"/>
    <w:multiLevelType w:val="hybridMultilevel"/>
    <w:tmpl w:val="86EA1FB6"/>
    <w:lvl w:ilvl="0" w:tplc="6CEAB732">
      <w:start w:val="19"/>
      <w:numFmt w:val="bullet"/>
      <w:lvlText w:val="–"/>
      <w:lvlJc w:val="left"/>
      <w:pPr>
        <w:ind w:left="400" w:hanging="360"/>
      </w:pPr>
      <w:rPr>
        <w:rFonts w:ascii="Calibri" w:eastAsiaTheme="majorEastAsia" w:hAnsi="Calibri" w:cs="Calibri" w:hint="default"/>
        <w:color w:val="212121"/>
        <w:sz w:val="22"/>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3" w15:restartNumberingAfterBreak="0">
    <w:nsid w:val="2DA83072"/>
    <w:multiLevelType w:val="hybridMultilevel"/>
    <w:tmpl w:val="EC807C22"/>
    <w:lvl w:ilvl="0" w:tplc="2910BDB2">
      <w:start w:val="19"/>
      <w:numFmt w:val="bullet"/>
      <w:lvlText w:val="-"/>
      <w:lvlJc w:val="left"/>
      <w:pPr>
        <w:ind w:left="720" w:hanging="360"/>
      </w:pPr>
      <w:rPr>
        <w:rFonts w:ascii="Univers" w:eastAsia="Times New Roman" w:hAnsi="Univer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2B015E"/>
    <w:multiLevelType w:val="hybridMultilevel"/>
    <w:tmpl w:val="A2F874C6"/>
    <w:lvl w:ilvl="0" w:tplc="041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E97E7C"/>
    <w:multiLevelType w:val="hybridMultilevel"/>
    <w:tmpl w:val="D95C6162"/>
    <w:lvl w:ilvl="0" w:tplc="D0468A6C">
      <w:start w:val="3"/>
      <w:numFmt w:val="bullet"/>
      <w:lvlText w:val="-"/>
      <w:lvlJc w:val="left"/>
      <w:pPr>
        <w:ind w:left="720" w:hanging="360"/>
      </w:pPr>
      <w:rPr>
        <w:rFonts w:ascii="Calibri" w:eastAsia="Calibri" w:hAnsi="Calibri" w:cs="Calibri"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2143A8E"/>
    <w:multiLevelType w:val="hybridMultilevel"/>
    <w:tmpl w:val="8FC6369A"/>
    <w:lvl w:ilvl="0" w:tplc="6D70D8EC">
      <w:start w:val="1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0531B18"/>
    <w:multiLevelType w:val="hybridMultilevel"/>
    <w:tmpl w:val="CAF22E34"/>
    <w:lvl w:ilvl="0" w:tplc="FF18DBFC">
      <w:start w:val="19"/>
      <w:numFmt w:val="bullet"/>
      <w:lvlText w:val="-"/>
      <w:lvlJc w:val="left"/>
      <w:pPr>
        <w:ind w:left="720" w:hanging="360"/>
      </w:pPr>
      <w:rPr>
        <w:rFonts w:ascii="Aptos" w:eastAsia="Times New Roman" w:hAnsi="Apto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2812A0"/>
    <w:multiLevelType w:val="multilevel"/>
    <w:tmpl w:val="618E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57AFA"/>
    <w:multiLevelType w:val="hybridMultilevel"/>
    <w:tmpl w:val="178A52C6"/>
    <w:lvl w:ilvl="0" w:tplc="160E560A">
      <w:start w:val="3"/>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3525347"/>
    <w:multiLevelType w:val="hybridMultilevel"/>
    <w:tmpl w:val="25E88C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37078769">
    <w:abstractNumId w:val="1"/>
  </w:num>
  <w:num w:numId="2" w16cid:durableId="2146925018">
    <w:abstractNumId w:val="10"/>
  </w:num>
  <w:num w:numId="3" w16cid:durableId="420488124">
    <w:abstractNumId w:val="8"/>
  </w:num>
  <w:num w:numId="4" w16cid:durableId="191000794">
    <w:abstractNumId w:val="6"/>
  </w:num>
  <w:num w:numId="5" w16cid:durableId="1983610391">
    <w:abstractNumId w:val="9"/>
  </w:num>
  <w:num w:numId="6" w16cid:durableId="286937929">
    <w:abstractNumId w:val="5"/>
  </w:num>
  <w:num w:numId="7" w16cid:durableId="1569878283">
    <w:abstractNumId w:val="3"/>
  </w:num>
  <w:num w:numId="8" w16cid:durableId="1595505828">
    <w:abstractNumId w:val="7"/>
  </w:num>
  <w:num w:numId="9" w16cid:durableId="1992632884">
    <w:abstractNumId w:val="2"/>
  </w:num>
  <w:num w:numId="10" w16cid:durableId="878470382">
    <w:abstractNumId w:val="4"/>
  </w:num>
  <w:num w:numId="11" w16cid:durableId="155650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34"/>
    <w:rsid w:val="000014CF"/>
    <w:rsid w:val="00011EE5"/>
    <w:rsid w:val="000126C4"/>
    <w:rsid w:val="00016898"/>
    <w:rsid w:val="000233E7"/>
    <w:rsid w:val="00025863"/>
    <w:rsid w:val="000263E7"/>
    <w:rsid w:val="00032523"/>
    <w:rsid w:val="000347BE"/>
    <w:rsid w:val="00037663"/>
    <w:rsid w:val="00040954"/>
    <w:rsid w:val="00047245"/>
    <w:rsid w:val="00057DF1"/>
    <w:rsid w:val="000828C0"/>
    <w:rsid w:val="000842E5"/>
    <w:rsid w:val="00090365"/>
    <w:rsid w:val="00095E83"/>
    <w:rsid w:val="000A44ED"/>
    <w:rsid w:val="000B4867"/>
    <w:rsid w:val="000B5BDE"/>
    <w:rsid w:val="000B5E1F"/>
    <w:rsid w:val="000C498C"/>
    <w:rsid w:val="000C49E1"/>
    <w:rsid w:val="000C77B5"/>
    <w:rsid w:val="000D13BB"/>
    <w:rsid w:val="000E1D68"/>
    <w:rsid w:val="000E28CC"/>
    <w:rsid w:val="000F6CA1"/>
    <w:rsid w:val="000F7ABB"/>
    <w:rsid w:val="001027BC"/>
    <w:rsid w:val="00103C46"/>
    <w:rsid w:val="001057EF"/>
    <w:rsid w:val="00107AA1"/>
    <w:rsid w:val="00115815"/>
    <w:rsid w:val="00130E4D"/>
    <w:rsid w:val="00132776"/>
    <w:rsid w:val="00142E20"/>
    <w:rsid w:val="001504CE"/>
    <w:rsid w:val="001506C7"/>
    <w:rsid w:val="001538A0"/>
    <w:rsid w:val="0015677D"/>
    <w:rsid w:val="00157D30"/>
    <w:rsid w:val="00163AA5"/>
    <w:rsid w:val="00176765"/>
    <w:rsid w:val="00180542"/>
    <w:rsid w:val="00180F74"/>
    <w:rsid w:val="00195752"/>
    <w:rsid w:val="001A01C6"/>
    <w:rsid w:val="001A346E"/>
    <w:rsid w:val="001B5758"/>
    <w:rsid w:val="001B60A0"/>
    <w:rsid w:val="001C1AFF"/>
    <w:rsid w:val="001C3D1B"/>
    <w:rsid w:val="001C3E2A"/>
    <w:rsid w:val="001D17A4"/>
    <w:rsid w:val="001D52BC"/>
    <w:rsid w:val="001E5784"/>
    <w:rsid w:val="001E6AA7"/>
    <w:rsid w:val="001F55AA"/>
    <w:rsid w:val="00201CFC"/>
    <w:rsid w:val="0020588B"/>
    <w:rsid w:val="002121DA"/>
    <w:rsid w:val="00220974"/>
    <w:rsid w:val="00237ACF"/>
    <w:rsid w:val="00240994"/>
    <w:rsid w:val="002434F1"/>
    <w:rsid w:val="00245246"/>
    <w:rsid w:val="002457B9"/>
    <w:rsid w:val="00245D3A"/>
    <w:rsid w:val="002511D6"/>
    <w:rsid w:val="0026397F"/>
    <w:rsid w:val="00263D35"/>
    <w:rsid w:val="00273FCF"/>
    <w:rsid w:val="00276344"/>
    <w:rsid w:val="00294AFD"/>
    <w:rsid w:val="00296A59"/>
    <w:rsid w:val="002A49AD"/>
    <w:rsid w:val="002A6EDF"/>
    <w:rsid w:val="002B2920"/>
    <w:rsid w:val="002B3FA6"/>
    <w:rsid w:val="002D18AD"/>
    <w:rsid w:val="002D3037"/>
    <w:rsid w:val="002E253B"/>
    <w:rsid w:val="002E3118"/>
    <w:rsid w:val="002F03CC"/>
    <w:rsid w:val="002F0AA2"/>
    <w:rsid w:val="002F2707"/>
    <w:rsid w:val="002F6A61"/>
    <w:rsid w:val="00305F6B"/>
    <w:rsid w:val="003103AF"/>
    <w:rsid w:val="003115E0"/>
    <w:rsid w:val="003175B4"/>
    <w:rsid w:val="00325FC2"/>
    <w:rsid w:val="003262F5"/>
    <w:rsid w:val="00330B83"/>
    <w:rsid w:val="00331F34"/>
    <w:rsid w:val="003421E2"/>
    <w:rsid w:val="00350F3C"/>
    <w:rsid w:val="00366395"/>
    <w:rsid w:val="00366936"/>
    <w:rsid w:val="00367493"/>
    <w:rsid w:val="00373834"/>
    <w:rsid w:val="003749D0"/>
    <w:rsid w:val="00377E39"/>
    <w:rsid w:val="00377E42"/>
    <w:rsid w:val="00385335"/>
    <w:rsid w:val="003923B2"/>
    <w:rsid w:val="00394871"/>
    <w:rsid w:val="003975AC"/>
    <w:rsid w:val="00397A91"/>
    <w:rsid w:val="003C33DB"/>
    <w:rsid w:val="003D020E"/>
    <w:rsid w:val="003D61E9"/>
    <w:rsid w:val="003D62B5"/>
    <w:rsid w:val="003D7EFD"/>
    <w:rsid w:val="003E0C88"/>
    <w:rsid w:val="003F093E"/>
    <w:rsid w:val="003F3885"/>
    <w:rsid w:val="00401365"/>
    <w:rsid w:val="00412E5C"/>
    <w:rsid w:val="00423091"/>
    <w:rsid w:val="00424461"/>
    <w:rsid w:val="00426B5C"/>
    <w:rsid w:val="004304CD"/>
    <w:rsid w:val="00457007"/>
    <w:rsid w:val="00457FCF"/>
    <w:rsid w:val="00465756"/>
    <w:rsid w:val="00472A21"/>
    <w:rsid w:val="00476959"/>
    <w:rsid w:val="00477412"/>
    <w:rsid w:val="00483EEC"/>
    <w:rsid w:val="00492398"/>
    <w:rsid w:val="004952DB"/>
    <w:rsid w:val="00496C6F"/>
    <w:rsid w:val="004A14D9"/>
    <w:rsid w:val="004B2E8A"/>
    <w:rsid w:val="004B7746"/>
    <w:rsid w:val="004C4B9F"/>
    <w:rsid w:val="004C6C92"/>
    <w:rsid w:val="004C7AD8"/>
    <w:rsid w:val="004F6E71"/>
    <w:rsid w:val="00500E64"/>
    <w:rsid w:val="00512904"/>
    <w:rsid w:val="00520FF0"/>
    <w:rsid w:val="0052476B"/>
    <w:rsid w:val="005261A3"/>
    <w:rsid w:val="005307A7"/>
    <w:rsid w:val="005318DF"/>
    <w:rsid w:val="00535601"/>
    <w:rsid w:val="005412DB"/>
    <w:rsid w:val="00542A62"/>
    <w:rsid w:val="00544863"/>
    <w:rsid w:val="00546B59"/>
    <w:rsid w:val="005518CA"/>
    <w:rsid w:val="0055523E"/>
    <w:rsid w:val="00557673"/>
    <w:rsid w:val="00570FD0"/>
    <w:rsid w:val="00571C1E"/>
    <w:rsid w:val="0058033A"/>
    <w:rsid w:val="005823C3"/>
    <w:rsid w:val="00585E14"/>
    <w:rsid w:val="00587AB9"/>
    <w:rsid w:val="005916D7"/>
    <w:rsid w:val="00597F32"/>
    <w:rsid w:val="005A120C"/>
    <w:rsid w:val="005A3886"/>
    <w:rsid w:val="005B7AB6"/>
    <w:rsid w:val="005C24BC"/>
    <w:rsid w:val="005C285A"/>
    <w:rsid w:val="005C2FF8"/>
    <w:rsid w:val="005C3719"/>
    <w:rsid w:val="005D34A5"/>
    <w:rsid w:val="005E7C8C"/>
    <w:rsid w:val="005F1B73"/>
    <w:rsid w:val="005F74A0"/>
    <w:rsid w:val="00600848"/>
    <w:rsid w:val="006017E7"/>
    <w:rsid w:val="00603C63"/>
    <w:rsid w:val="00605037"/>
    <w:rsid w:val="006068BC"/>
    <w:rsid w:val="006128CF"/>
    <w:rsid w:val="006154B3"/>
    <w:rsid w:val="006210E8"/>
    <w:rsid w:val="006240A2"/>
    <w:rsid w:val="00624A6F"/>
    <w:rsid w:val="00643DB8"/>
    <w:rsid w:val="00650A26"/>
    <w:rsid w:val="00654956"/>
    <w:rsid w:val="00663635"/>
    <w:rsid w:val="006740A5"/>
    <w:rsid w:val="00677E80"/>
    <w:rsid w:val="00681AF4"/>
    <w:rsid w:val="00686734"/>
    <w:rsid w:val="00692DBF"/>
    <w:rsid w:val="006978F2"/>
    <w:rsid w:val="006A3D84"/>
    <w:rsid w:val="006A4BEC"/>
    <w:rsid w:val="006A69DF"/>
    <w:rsid w:val="006B27BC"/>
    <w:rsid w:val="006B6DC7"/>
    <w:rsid w:val="006C42A8"/>
    <w:rsid w:val="006C63C5"/>
    <w:rsid w:val="006C680F"/>
    <w:rsid w:val="006C7863"/>
    <w:rsid w:val="006D4BFF"/>
    <w:rsid w:val="006D771D"/>
    <w:rsid w:val="006E51B2"/>
    <w:rsid w:val="006E6E59"/>
    <w:rsid w:val="006F1946"/>
    <w:rsid w:val="006F342F"/>
    <w:rsid w:val="00701F9C"/>
    <w:rsid w:val="007058D0"/>
    <w:rsid w:val="00712A43"/>
    <w:rsid w:val="00723093"/>
    <w:rsid w:val="00726320"/>
    <w:rsid w:val="00744B9A"/>
    <w:rsid w:val="00744F29"/>
    <w:rsid w:val="0074629F"/>
    <w:rsid w:val="007469FC"/>
    <w:rsid w:val="00751C28"/>
    <w:rsid w:val="00751C75"/>
    <w:rsid w:val="0076117B"/>
    <w:rsid w:val="00761E3E"/>
    <w:rsid w:val="00764B51"/>
    <w:rsid w:val="00775E1F"/>
    <w:rsid w:val="00781E48"/>
    <w:rsid w:val="00785100"/>
    <w:rsid w:val="007851B9"/>
    <w:rsid w:val="00787648"/>
    <w:rsid w:val="00787B42"/>
    <w:rsid w:val="00794619"/>
    <w:rsid w:val="00797D6E"/>
    <w:rsid w:val="007A2508"/>
    <w:rsid w:val="007A28A2"/>
    <w:rsid w:val="007A5A25"/>
    <w:rsid w:val="007A6803"/>
    <w:rsid w:val="007B16A5"/>
    <w:rsid w:val="007B18AB"/>
    <w:rsid w:val="007B60CA"/>
    <w:rsid w:val="007D2FA4"/>
    <w:rsid w:val="007E2E2B"/>
    <w:rsid w:val="0080356C"/>
    <w:rsid w:val="0080365D"/>
    <w:rsid w:val="00807135"/>
    <w:rsid w:val="008104F8"/>
    <w:rsid w:val="008112ED"/>
    <w:rsid w:val="00811F05"/>
    <w:rsid w:val="0081314C"/>
    <w:rsid w:val="0081727F"/>
    <w:rsid w:val="008256B2"/>
    <w:rsid w:val="008303A5"/>
    <w:rsid w:val="008332A0"/>
    <w:rsid w:val="00836FA1"/>
    <w:rsid w:val="00843DAC"/>
    <w:rsid w:val="0084448A"/>
    <w:rsid w:val="00851204"/>
    <w:rsid w:val="008539DA"/>
    <w:rsid w:val="008544AA"/>
    <w:rsid w:val="00860966"/>
    <w:rsid w:val="00872368"/>
    <w:rsid w:val="00874B39"/>
    <w:rsid w:val="00877127"/>
    <w:rsid w:val="00880C38"/>
    <w:rsid w:val="008844EC"/>
    <w:rsid w:val="00887C5E"/>
    <w:rsid w:val="008B0047"/>
    <w:rsid w:val="008C3FD2"/>
    <w:rsid w:val="008D5329"/>
    <w:rsid w:val="008D6A5B"/>
    <w:rsid w:val="008E086D"/>
    <w:rsid w:val="008F193D"/>
    <w:rsid w:val="008F5284"/>
    <w:rsid w:val="00904B11"/>
    <w:rsid w:val="00911CCD"/>
    <w:rsid w:val="00915E60"/>
    <w:rsid w:val="00916F52"/>
    <w:rsid w:val="00924883"/>
    <w:rsid w:val="009375B1"/>
    <w:rsid w:val="0095278E"/>
    <w:rsid w:val="00964E71"/>
    <w:rsid w:val="00967843"/>
    <w:rsid w:val="009678DA"/>
    <w:rsid w:val="00972834"/>
    <w:rsid w:val="00975545"/>
    <w:rsid w:val="00977240"/>
    <w:rsid w:val="009802CC"/>
    <w:rsid w:val="00987480"/>
    <w:rsid w:val="009A1BC9"/>
    <w:rsid w:val="009A262E"/>
    <w:rsid w:val="009A33CF"/>
    <w:rsid w:val="009A6F81"/>
    <w:rsid w:val="009B0419"/>
    <w:rsid w:val="009B1BB6"/>
    <w:rsid w:val="009B314E"/>
    <w:rsid w:val="009B643E"/>
    <w:rsid w:val="009C4A55"/>
    <w:rsid w:val="009D22E9"/>
    <w:rsid w:val="009D6E44"/>
    <w:rsid w:val="009E6FA7"/>
    <w:rsid w:val="00A15695"/>
    <w:rsid w:val="00A214CF"/>
    <w:rsid w:val="00A21E22"/>
    <w:rsid w:val="00A22099"/>
    <w:rsid w:val="00A254F7"/>
    <w:rsid w:val="00A25FF6"/>
    <w:rsid w:val="00A2631B"/>
    <w:rsid w:val="00A3039E"/>
    <w:rsid w:val="00A31395"/>
    <w:rsid w:val="00A317BB"/>
    <w:rsid w:val="00A3331B"/>
    <w:rsid w:val="00A343B0"/>
    <w:rsid w:val="00A3486F"/>
    <w:rsid w:val="00A51F41"/>
    <w:rsid w:val="00A55BED"/>
    <w:rsid w:val="00A657A4"/>
    <w:rsid w:val="00A71148"/>
    <w:rsid w:val="00A731C3"/>
    <w:rsid w:val="00A80095"/>
    <w:rsid w:val="00A81B1F"/>
    <w:rsid w:val="00A93703"/>
    <w:rsid w:val="00A950C3"/>
    <w:rsid w:val="00AC13ED"/>
    <w:rsid w:val="00AC79C4"/>
    <w:rsid w:val="00AD3288"/>
    <w:rsid w:val="00AD4B23"/>
    <w:rsid w:val="00AD5061"/>
    <w:rsid w:val="00AD5178"/>
    <w:rsid w:val="00AD55E4"/>
    <w:rsid w:val="00AD7F2B"/>
    <w:rsid w:val="00AE2325"/>
    <w:rsid w:val="00AE4AEE"/>
    <w:rsid w:val="00AE7050"/>
    <w:rsid w:val="00AF1BC9"/>
    <w:rsid w:val="00AF30D6"/>
    <w:rsid w:val="00AF4CD9"/>
    <w:rsid w:val="00B109D6"/>
    <w:rsid w:val="00B11148"/>
    <w:rsid w:val="00B150D1"/>
    <w:rsid w:val="00B1785A"/>
    <w:rsid w:val="00B20203"/>
    <w:rsid w:val="00B2021B"/>
    <w:rsid w:val="00B24410"/>
    <w:rsid w:val="00B31BEB"/>
    <w:rsid w:val="00B46482"/>
    <w:rsid w:val="00B51DD1"/>
    <w:rsid w:val="00B520E3"/>
    <w:rsid w:val="00B539B2"/>
    <w:rsid w:val="00B56ABA"/>
    <w:rsid w:val="00B61D05"/>
    <w:rsid w:val="00B64183"/>
    <w:rsid w:val="00B6449B"/>
    <w:rsid w:val="00B72B8C"/>
    <w:rsid w:val="00B81D8E"/>
    <w:rsid w:val="00B8414D"/>
    <w:rsid w:val="00B84818"/>
    <w:rsid w:val="00B8746D"/>
    <w:rsid w:val="00B92F54"/>
    <w:rsid w:val="00B97000"/>
    <w:rsid w:val="00BA11FC"/>
    <w:rsid w:val="00BA7918"/>
    <w:rsid w:val="00BB0406"/>
    <w:rsid w:val="00BC5921"/>
    <w:rsid w:val="00BD5E65"/>
    <w:rsid w:val="00BD79E5"/>
    <w:rsid w:val="00BE4CEF"/>
    <w:rsid w:val="00BF48B7"/>
    <w:rsid w:val="00C06488"/>
    <w:rsid w:val="00C13990"/>
    <w:rsid w:val="00C170C7"/>
    <w:rsid w:val="00C17CAF"/>
    <w:rsid w:val="00C232CD"/>
    <w:rsid w:val="00C25B67"/>
    <w:rsid w:val="00C26A22"/>
    <w:rsid w:val="00C32A3F"/>
    <w:rsid w:val="00C34203"/>
    <w:rsid w:val="00C3504C"/>
    <w:rsid w:val="00C359E8"/>
    <w:rsid w:val="00C507A9"/>
    <w:rsid w:val="00C51AC8"/>
    <w:rsid w:val="00C54A3C"/>
    <w:rsid w:val="00C566A0"/>
    <w:rsid w:val="00C62F5D"/>
    <w:rsid w:val="00C70410"/>
    <w:rsid w:val="00C727A7"/>
    <w:rsid w:val="00C7611C"/>
    <w:rsid w:val="00C7643E"/>
    <w:rsid w:val="00C83B97"/>
    <w:rsid w:val="00C846BE"/>
    <w:rsid w:val="00C846EF"/>
    <w:rsid w:val="00C8486E"/>
    <w:rsid w:val="00C90F3D"/>
    <w:rsid w:val="00C9381E"/>
    <w:rsid w:val="00C97B3B"/>
    <w:rsid w:val="00CA39EA"/>
    <w:rsid w:val="00CB27B8"/>
    <w:rsid w:val="00CB3713"/>
    <w:rsid w:val="00CC1005"/>
    <w:rsid w:val="00CC3C03"/>
    <w:rsid w:val="00CC5CF1"/>
    <w:rsid w:val="00CC5E26"/>
    <w:rsid w:val="00CE1191"/>
    <w:rsid w:val="00CE6544"/>
    <w:rsid w:val="00D01E05"/>
    <w:rsid w:val="00D1722A"/>
    <w:rsid w:val="00D209F3"/>
    <w:rsid w:val="00D2378A"/>
    <w:rsid w:val="00D26D86"/>
    <w:rsid w:val="00D45760"/>
    <w:rsid w:val="00D55DBE"/>
    <w:rsid w:val="00D64F1A"/>
    <w:rsid w:val="00D71214"/>
    <w:rsid w:val="00D82635"/>
    <w:rsid w:val="00D97762"/>
    <w:rsid w:val="00DA5D32"/>
    <w:rsid w:val="00DB0FEE"/>
    <w:rsid w:val="00DB1962"/>
    <w:rsid w:val="00DB3356"/>
    <w:rsid w:val="00DB7E52"/>
    <w:rsid w:val="00DC722F"/>
    <w:rsid w:val="00DD71FE"/>
    <w:rsid w:val="00DE44C5"/>
    <w:rsid w:val="00DE4A21"/>
    <w:rsid w:val="00DE536D"/>
    <w:rsid w:val="00DF1262"/>
    <w:rsid w:val="00DF4B06"/>
    <w:rsid w:val="00E00798"/>
    <w:rsid w:val="00E01DF7"/>
    <w:rsid w:val="00E04C31"/>
    <w:rsid w:val="00E05804"/>
    <w:rsid w:val="00E11B91"/>
    <w:rsid w:val="00E2140B"/>
    <w:rsid w:val="00E21E6B"/>
    <w:rsid w:val="00E25897"/>
    <w:rsid w:val="00E3125D"/>
    <w:rsid w:val="00E33091"/>
    <w:rsid w:val="00E36AA1"/>
    <w:rsid w:val="00E37692"/>
    <w:rsid w:val="00E64A66"/>
    <w:rsid w:val="00E76031"/>
    <w:rsid w:val="00E816E7"/>
    <w:rsid w:val="00E856FD"/>
    <w:rsid w:val="00E86441"/>
    <w:rsid w:val="00E922BA"/>
    <w:rsid w:val="00E9410E"/>
    <w:rsid w:val="00EA77CA"/>
    <w:rsid w:val="00EB41F4"/>
    <w:rsid w:val="00ED0D47"/>
    <w:rsid w:val="00ED13ED"/>
    <w:rsid w:val="00ED7A90"/>
    <w:rsid w:val="00EE007B"/>
    <w:rsid w:val="00EE330E"/>
    <w:rsid w:val="00EE4936"/>
    <w:rsid w:val="00EE5E93"/>
    <w:rsid w:val="00EE6214"/>
    <w:rsid w:val="00EE7164"/>
    <w:rsid w:val="00EE75AD"/>
    <w:rsid w:val="00EE7A64"/>
    <w:rsid w:val="00EF11B5"/>
    <w:rsid w:val="00EF4BEF"/>
    <w:rsid w:val="00F036BB"/>
    <w:rsid w:val="00F102FD"/>
    <w:rsid w:val="00F12FA2"/>
    <w:rsid w:val="00F26B78"/>
    <w:rsid w:val="00F275A8"/>
    <w:rsid w:val="00F36282"/>
    <w:rsid w:val="00F47574"/>
    <w:rsid w:val="00F54453"/>
    <w:rsid w:val="00F54A34"/>
    <w:rsid w:val="00F54B75"/>
    <w:rsid w:val="00F643B5"/>
    <w:rsid w:val="00F71C40"/>
    <w:rsid w:val="00F73E73"/>
    <w:rsid w:val="00F753DC"/>
    <w:rsid w:val="00F81053"/>
    <w:rsid w:val="00F82252"/>
    <w:rsid w:val="00F835BF"/>
    <w:rsid w:val="00F8677B"/>
    <w:rsid w:val="00F9313C"/>
    <w:rsid w:val="00F947E8"/>
    <w:rsid w:val="00FA0597"/>
    <w:rsid w:val="00FA2F12"/>
    <w:rsid w:val="00FA5051"/>
    <w:rsid w:val="00FA75DD"/>
    <w:rsid w:val="00FB1A06"/>
    <w:rsid w:val="00FB26C6"/>
    <w:rsid w:val="00FB51DA"/>
    <w:rsid w:val="00FB5BE5"/>
    <w:rsid w:val="00FC0E1E"/>
    <w:rsid w:val="00FC1629"/>
    <w:rsid w:val="00FD424F"/>
    <w:rsid w:val="00FE0C12"/>
    <w:rsid w:val="00FE4D07"/>
    <w:rsid w:val="00FE64A1"/>
    <w:rsid w:val="00FF7897"/>
    <w:rsid w:val="0821B940"/>
    <w:rsid w:val="197D279C"/>
    <w:rsid w:val="20613672"/>
    <w:rsid w:val="22524CB5"/>
    <w:rsid w:val="296352B0"/>
    <w:rsid w:val="2C809E70"/>
    <w:rsid w:val="3310E753"/>
    <w:rsid w:val="3C361478"/>
    <w:rsid w:val="3EAA391F"/>
    <w:rsid w:val="4B333F43"/>
    <w:rsid w:val="4B7E9CC9"/>
    <w:rsid w:val="4C344D6B"/>
    <w:rsid w:val="52E71513"/>
    <w:rsid w:val="559BF8EB"/>
    <w:rsid w:val="5975E857"/>
    <w:rsid w:val="5C804592"/>
    <w:rsid w:val="60D463DC"/>
    <w:rsid w:val="63628884"/>
    <w:rsid w:val="6508A1C0"/>
    <w:rsid w:val="7E00975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2DD515"/>
  <w15:chartTrackingRefBased/>
  <w15:docId w15:val="{3D241491-69E7-F343-A921-65CF840C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A6"/>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uiPriority w:val="9"/>
    <w:qFormat/>
    <w:rsid w:val="00F54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54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4A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4A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4A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4A3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4A3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4A3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4A3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4A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54A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54A3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54A3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54A3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54A3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54A3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54A3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54A34"/>
    <w:rPr>
      <w:rFonts w:eastAsiaTheme="majorEastAsia" w:cstheme="majorBidi"/>
      <w:color w:val="272727" w:themeColor="text1" w:themeTint="D8"/>
    </w:rPr>
  </w:style>
  <w:style w:type="paragraph" w:styleId="Tittel">
    <w:name w:val="Title"/>
    <w:basedOn w:val="Normal"/>
    <w:next w:val="Normal"/>
    <w:link w:val="TittelTegn"/>
    <w:uiPriority w:val="10"/>
    <w:qFormat/>
    <w:rsid w:val="00F54A3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54A3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54A34"/>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54A3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54A3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F54A34"/>
    <w:rPr>
      <w:i/>
      <w:iCs/>
      <w:color w:val="404040" w:themeColor="text1" w:themeTint="BF"/>
    </w:rPr>
  </w:style>
  <w:style w:type="paragraph" w:styleId="Listeavsnitt">
    <w:name w:val="List Paragraph"/>
    <w:basedOn w:val="Normal"/>
    <w:uiPriority w:val="34"/>
    <w:qFormat/>
    <w:rsid w:val="00F54A34"/>
    <w:pPr>
      <w:ind w:left="720"/>
      <w:contextualSpacing/>
    </w:pPr>
  </w:style>
  <w:style w:type="character" w:styleId="Sterkutheving">
    <w:name w:val="Intense Emphasis"/>
    <w:basedOn w:val="Standardskriftforavsnitt"/>
    <w:uiPriority w:val="21"/>
    <w:qFormat/>
    <w:rsid w:val="00F54A34"/>
    <w:rPr>
      <w:i/>
      <w:iCs/>
      <w:color w:val="0F4761" w:themeColor="accent1" w:themeShade="BF"/>
    </w:rPr>
  </w:style>
  <w:style w:type="paragraph" w:styleId="Sterktsitat">
    <w:name w:val="Intense Quote"/>
    <w:basedOn w:val="Normal"/>
    <w:next w:val="Normal"/>
    <w:link w:val="SterktsitatTegn"/>
    <w:uiPriority w:val="30"/>
    <w:qFormat/>
    <w:rsid w:val="00F54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54A34"/>
    <w:rPr>
      <w:i/>
      <w:iCs/>
      <w:color w:val="0F4761" w:themeColor="accent1" w:themeShade="BF"/>
    </w:rPr>
  </w:style>
  <w:style w:type="character" w:styleId="Sterkreferanse">
    <w:name w:val="Intense Reference"/>
    <w:basedOn w:val="Standardskriftforavsnitt"/>
    <w:uiPriority w:val="32"/>
    <w:qFormat/>
    <w:rsid w:val="00F54A34"/>
    <w:rPr>
      <w:b/>
      <w:bCs/>
      <w:smallCaps/>
      <w:color w:val="0F4761" w:themeColor="accent1" w:themeShade="BF"/>
      <w:spacing w:val="5"/>
    </w:rPr>
  </w:style>
  <w:style w:type="paragraph" w:customStyle="1" w:styleId="paragraph">
    <w:name w:val="paragraph"/>
    <w:basedOn w:val="Normal"/>
    <w:rsid w:val="006C680F"/>
    <w:pPr>
      <w:spacing w:before="100" w:beforeAutospacing="1" w:after="100" w:afterAutospacing="1"/>
    </w:pPr>
  </w:style>
  <w:style w:type="character" w:customStyle="1" w:styleId="normaltextrun">
    <w:name w:val="normaltextrun"/>
    <w:basedOn w:val="Standardskriftforavsnitt"/>
    <w:rsid w:val="006C680F"/>
  </w:style>
  <w:style w:type="character" w:customStyle="1" w:styleId="eop">
    <w:name w:val="eop"/>
    <w:basedOn w:val="Standardskriftforavsnitt"/>
    <w:rsid w:val="006C680F"/>
  </w:style>
  <w:style w:type="paragraph" w:styleId="NormalWeb">
    <w:name w:val="Normal (Web)"/>
    <w:basedOn w:val="Normal"/>
    <w:uiPriority w:val="99"/>
    <w:unhideWhenUsed/>
    <w:rsid w:val="00877127"/>
    <w:pPr>
      <w:spacing w:before="100" w:beforeAutospacing="1" w:after="100" w:afterAutospacing="1"/>
    </w:pPr>
  </w:style>
  <w:style w:type="character" w:styleId="Sterk">
    <w:name w:val="Strong"/>
    <w:basedOn w:val="Standardskriftforavsnitt"/>
    <w:uiPriority w:val="22"/>
    <w:qFormat/>
    <w:rsid w:val="00877127"/>
    <w:rPr>
      <w:b/>
      <w:bCs/>
    </w:rPr>
  </w:style>
  <w:style w:type="character" w:customStyle="1" w:styleId="font-weight-bold">
    <w:name w:val="font-weight-bold"/>
    <w:basedOn w:val="Standardskriftforavsnitt"/>
    <w:rsid w:val="00C7611C"/>
  </w:style>
  <w:style w:type="character" w:customStyle="1" w:styleId="xxnormaltextrun">
    <w:name w:val="xxnormaltextrun"/>
    <w:basedOn w:val="Standardskriftforavsnitt"/>
    <w:rsid w:val="00EB41F4"/>
  </w:style>
  <w:style w:type="character" w:customStyle="1" w:styleId="xxscxw243563332">
    <w:name w:val="xxscxw243563332"/>
    <w:basedOn w:val="Standardskriftforavsnitt"/>
    <w:rsid w:val="00EB41F4"/>
  </w:style>
  <w:style w:type="paragraph" w:styleId="Topptekst">
    <w:name w:val="header"/>
    <w:basedOn w:val="Normal"/>
    <w:link w:val="TopptekstTegn"/>
    <w:uiPriority w:val="99"/>
    <w:unhideWhenUsed/>
    <w:pPr>
      <w:tabs>
        <w:tab w:val="center" w:pos="4703"/>
        <w:tab w:val="right" w:pos="9406"/>
      </w:tabs>
    </w:pPr>
  </w:style>
  <w:style w:type="character" w:customStyle="1" w:styleId="TopptekstTegn">
    <w:name w:val="Topptekst Tegn"/>
    <w:basedOn w:val="Standardskriftforavsnitt"/>
    <w:link w:val="Topptekst"/>
    <w:uiPriority w:val="99"/>
    <w:rPr>
      <w:rFonts w:ascii="Times New Roman" w:eastAsia="Times New Roman" w:hAnsi="Times New Roman" w:cs="Times New Roman"/>
      <w:kern w:val="0"/>
      <w:lang w:eastAsia="nb-NO"/>
      <w14:ligatures w14:val="none"/>
    </w:rPr>
  </w:style>
  <w:style w:type="paragraph" w:styleId="Bunntekst">
    <w:name w:val="footer"/>
    <w:basedOn w:val="Normal"/>
    <w:link w:val="BunntekstTegn"/>
    <w:uiPriority w:val="99"/>
    <w:unhideWhenUsed/>
    <w:pPr>
      <w:tabs>
        <w:tab w:val="center" w:pos="4703"/>
        <w:tab w:val="right" w:pos="9406"/>
      </w:tabs>
    </w:pPr>
  </w:style>
  <w:style w:type="character" w:customStyle="1" w:styleId="BunntekstTegn">
    <w:name w:val="Bunntekst Tegn"/>
    <w:basedOn w:val="Standardskriftforavsnitt"/>
    <w:link w:val="Bunntekst"/>
    <w:uiPriority w:val="99"/>
    <w:rPr>
      <w:rFonts w:ascii="Times New Roman" w:eastAsia="Times New Roman" w:hAnsi="Times New Roman" w:cs="Times New Roman"/>
      <w:kern w:val="0"/>
      <w:lang w:eastAsia="nb-NO"/>
      <w14:ligatures w14:val="none"/>
    </w:rPr>
  </w:style>
  <w:style w:type="character" w:styleId="Hyperkobling">
    <w:name w:val="Hyperlink"/>
    <w:basedOn w:val="Standardskriftforavsnitt"/>
    <w:uiPriority w:val="99"/>
    <w:unhideWhenUsed/>
    <w:rPr>
      <w:color w:val="467886" w:themeColor="hyperlink"/>
      <w:u w:val="single"/>
    </w:rPr>
  </w:style>
  <w:style w:type="character" w:styleId="Ulstomtale">
    <w:name w:val="Unresolved Mention"/>
    <w:basedOn w:val="Standardskriftforavsnitt"/>
    <w:uiPriority w:val="99"/>
    <w:semiHidden/>
    <w:unhideWhenUsed/>
    <w:rPr>
      <w:color w:val="605E5C"/>
      <w:shd w:val="clear" w:color="auto" w:fill="E1DFDD"/>
    </w:rPr>
  </w:style>
  <w:style w:type="paragraph" w:customStyle="1" w:styleId="xxparagraph">
    <w:name w:val="xxparagraph"/>
    <w:basedOn w:val="Normal"/>
    <w:pPr>
      <w:spacing w:before="100" w:beforeAutospacing="1" w:after="100" w:afterAutospacing="1"/>
    </w:pPr>
  </w:style>
  <w:style w:type="character" w:customStyle="1" w:styleId="xxeop">
    <w:name w:val="xxeop"/>
    <w:basedOn w:val="Standardskriftforav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42903">
      <w:bodyDiv w:val="1"/>
      <w:marLeft w:val="0"/>
      <w:marRight w:val="0"/>
      <w:marTop w:val="0"/>
      <w:marBottom w:val="0"/>
      <w:divBdr>
        <w:top w:val="none" w:sz="0" w:space="0" w:color="auto"/>
        <w:left w:val="none" w:sz="0" w:space="0" w:color="auto"/>
        <w:bottom w:val="none" w:sz="0" w:space="0" w:color="auto"/>
        <w:right w:val="none" w:sz="0" w:space="0" w:color="auto"/>
      </w:divBdr>
      <w:divsChild>
        <w:div w:id="135883499">
          <w:marLeft w:val="0"/>
          <w:marRight w:val="0"/>
          <w:marTop w:val="0"/>
          <w:marBottom w:val="0"/>
          <w:divBdr>
            <w:top w:val="none" w:sz="0" w:space="0" w:color="auto"/>
            <w:left w:val="none" w:sz="0" w:space="0" w:color="auto"/>
            <w:bottom w:val="none" w:sz="0" w:space="0" w:color="auto"/>
            <w:right w:val="none" w:sz="0" w:space="0" w:color="auto"/>
          </w:divBdr>
        </w:div>
        <w:div w:id="1348602657">
          <w:marLeft w:val="0"/>
          <w:marRight w:val="0"/>
          <w:marTop w:val="0"/>
          <w:marBottom w:val="0"/>
          <w:divBdr>
            <w:top w:val="none" w:sz="0" w:space="0" w:color="auto"/>
            <w:left w:val="none" w:sz="0" w:space="0" w:color="auto"/>
            <w:bottom w:val="none" w:sz="0" w:space="0" w:color="auto"/>
            <w:right w:val="none" w:sz="0" w:space="0" w:color="auto"/>
          </w:divBdr>
        </w:div>
        <w:div w:id="1613978778">
          <w:marLeft w:val="0"/>
          <w:marRight w:val="0"/>
          <w:marTop w:val="0"/>
          <w:marBottom w:val="0"/>
          <w:divBdr>
            <w:top w:val="none" w:sz="0" w:space="0" w:color="auto"/>
            <w:left w:val="none" w:sz="0" w:space="0" w:color="auto"/>
            <w:bottom w:val="none" w:sz="0" w:space="0" w:color="auto"/>
            <w:right w:val="none" w:sz="0" w:space="0" w:color="auto"/>
          </w:divBdr>
        </w:div>
      </w:divsChild>
    </w:div>
    <w:div w:id="315381862">
      <w:bodyDiv w:val="1"/>
      <w:marLeft w:val="0"/>
      <w:marRight w:val="0"/>
      <w:marTop w:val="0"/>
      <w:marBottom w:val="0"/>
      <w:divBdr>
        <w:top w:val="none" w:sz="0" w:space="0" w:color="auto"/>
        <w:left w:val="none" w:sz="0" w:space="0" w:color="auto"/>
        <w:bottom w:val="none" w:sz="0" w:space="0" w:color="auto"/>
        <w:right w:val="none" w:sz="0" w:space="0" w:color="auto"/>
      </w:divBdr>
    </w:div>
    <w:div w:id="412359845">
      <w:bodyDiv w:val="1"/>
      <w:marLeft w:val="0"/>
      <w:marRight w:val="0"/>
      <w:marTop w:val="0"/>
      <w:marBottom w:val="0"/>
      <w:divBdr>
        <w:top w:val="none" w:sz="0" w:space="0" w:color="auto"/>
        <w:left w:val="none" w:sz="0" w:space="0" w:color="auto"/>
        <w:bottom w:val="none" w:sz="0" w:space="0" w:color="auto"/>
        <w:right w:val="none" w:sz="0" w:space="0" w:color="auto"/>
      </w:divBdr>
    </w:div>
    <w:div w:id="59791039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93">
          <w:marLeft w:val="0"/>
          <w:marRight w:val="0"/>
          <w:marTop w:val="0"/>
          <w:marBottom w:val="0"/>
          <w:divBdr>
            <w:top w:val="none" w:sz="0" w:space="0" w:color="auto"/>
            <w:left w:val="none" w:sz="0" w:space="0" w:color="auto"/>
            <w:bottom w:val="none" w:sz="0" w:space="0" w:color="auto"/>
            <w:right w:val="none" w:sz="0" w:space="0" w:color="auto"/>
          </w:divBdr>
        </w:div>
        <w:div w:id="1741099063">
          <w:marLeft w:val="0"/>
          <w:marRight w:val="0"/>
          <w:marTop w:val="0"/>
          <w:marBottom w:val="0"/>
          <w:divBdr>
            <w:top w:val="none" w:sz="0" w:space="0" w:color="auto"/>
            <w:left w:val="none" w:sz="0" w:space="0" w:color="auto"/>
            <w:bottom w:val="none" w:sz="0" w:space="0" w:color="auto"/>
            <w:right w:val="none" w:sz="0" w:space="0" w:color="auto"/>
          </w:divBdr>
        </w:div>
      </w:divsChild>
    </w:div>
    <w:div w:id="637732133">
      <w:bodyDiv w:val="1"/>
      <w:marLeft w:val="0"/>
      <w:marRight w:val="0"/>
      <w:marTop w:val="0"/>
      <w:marBottom w:val="0"/>
      <w:divBdr>
        <w:top w:val="none" w:sz="0" w:space="0" w:color="auto"/>
        <w:left w:val="none" w:sz="0" w:space="0" w:color="auto"/>
        <w:bottom w:val="none" w:sz="0" w:space="0" w:color="auto"/>
        <w:right w:val="none" w:sz="0" w:space="0" w:color="auto"/>
      </w:divBdr>
    </w:div>
    <w:div w:id="942808004">
      <w:bodyDiv w:val="1"/>
      <w:marLeft w:val="0"/>
      <w:marRight w:val="0"/>
      <w:marTop w:val="0"/>
      <w:marBottom w:val="0"/>
      <w:divBdr>
        <w:top w:val="none" w:sz="0" w:space="0" w:color="auto"/>
        <w:left w:val="none" w:sz="0" w:space="0" w:color="auto"/>
        <w:bottom w:val="none" w:sz="0" w:space="0" w:color="auto"/>
        <w:right w:val="none" w:sz="0" w:space="0" w:color="auto"/>
      </w:divBdr>
    </w:div>
    <w:div w:id="1131824676">
      <w:bodyDiv w:val="1"/>
      <w:marLeft w:val="0"/>
      <w:marRight w:val="0"/>
      <w:marTop w:val="0"/>
      <w:marBottom w:val="0"/>
      <w:divBdr>
        <w:top w:val="none" w:sz="0" w:space="0" w:color="auto"/>
        <w:left w:val="none" w:sz="0" w:space="0" w:color="auto"/>
        <w:bottom w:val="none" w:sz="0" w:space="0" w:color="auto"/>
        <w:right w:val="none" w:sz="0" w:space="0" w:color="auto"/>
      </w:divBdr>
    </w:div>
    <w:div w:id="1362241221">
      <w:bodyDiv w:val="1"/>
      <w:marLeft w:val="0"/>
      <w:marRight w:val="0"/>
      <w:marTop w:val="0"/>
      <w:marBottom w:val="0"/>
      <w:divBdr>
        <w:top w:val="none" w:sz="0" w:space="0" w:color="auto"/>
        <w:left w:val="none" w:sz="0" w:space="0" w:color="auto"/>
        <w:bottom w:val="none" w:sz="0" w:space="0" w:color="auto"/>
        <w:right w:val="none" w:sz="0" w:space="0" w:color="auto"/>
      </w:divBdr>
    </w:div>
    <w:div w:id="1400589485">
      <w:bodyDiv w:val="1"/>
      <w:marLeft w:val="0"/>
      <w:marRight w:val="0"/>
      <w:marTop w:val="0"/>
      <w:marBottom w:val="0"/>
      <w:divBdr>
        <w:top w:val="none" w:sz="0" w:space="0" w:color="auto"/>
        <w:left w:val="none" w:sz="0" w:space="0" w:color="auto"/>
        <w:bottom w:val="none" w:sz="0" w:space="0" w:color="auto"/>
        <w:right w:val="none" w:sz="0" w:space="0" w:color="auto"/>
      </w:divBdr>
      <w:divsChild>
        <w:div w:id="91823933">
          <w:marLeft w:val="0"/>
          <w:marRight w:val="0"/>
          <w:marTop w:val="0"/>
          <w:marBottom w:val="0"/>
          <w:divBdr>
            <w:top w:val="none" w:sz="0" w:space="0" w:color="auto"/>
            <w:left w:val="none" w:sz="0" w:space="0" w:color="auto"/>
            <w:bottom w:val="none" w:sz="0" w:space="0" w:color="auto"/>
            <w:right w:val="none" w:sz="0" w:space="0" w:color="auto"/>
          </w:divBdr>
        </w:div>
        <w:div w:id="182868393">
          <w:marLeft w:val="0"/>
          <w:marRight w:val="0"/>
          <w:marTop w:val="0"/>
          <w:marBottom w:val="0"/>
          <w:divBdr>
            <w:top w:val="none" w:sz="0" w:space="0" w:color="auto"/>
            <w:left w:val="none" w:sz="0" w:space="0" w:color="auto"/>
            <w:bottom w:val="none" w:sz="0" w:space="0" w:color="auto"/>
            <w:right w:val="none" w:sz="0" w:space="0" w:color="auto"/>
          </w:divBdr>
        </w:div>
        <w:div w:id="384918237">
          <w:marLeft w:val="0"/>
          <w:marRight w:val="0"/>
          <w:marTop w:val="0"/>
          <w:marBottom w:val="0"/>
          <w:divBdr>
            <w:top w:val="none" w:sz="0" w:space="0" w:color="auto"/>
            <w:left w:val="none" w:sz="0" w:space="0" w:color="auto"/>
            <w:bottom w:val="none" w:sz="0" w:space="0" w:color="auto"/>
            <w:right w:val="none" w:sz="0" w:space="0" w:color="auto"/>
          </w:divBdr>
        </w:div>
        <w:div w:id="714427801">
          <w:marLeft w:val="0"/>
          <w:marRight w:val="0"/>
          <w:marTop w:val="0"/>
          <w:marBottom w:val="0"/>
          <w:divBdr>
            <w:top w:val="none" w:sz="0" w:space="0" w:color="auto"/>
            <w:left w:val="none" w:sz="0" w:space="0" w:color="auto"/>
            <w:bottom w:val="none" w:sz="0" w:space="0" w:color="auto"/>
            <w:right w:val="none" w:sz="0" w:space="0" w:color="auto"/>
          </w:divBdr>
        </w:div>
        <w:div w:id="829634576">
          <w:marLeft w:val="0"/>
          <w:marRight w:val="0"/>
          <w:marTop w:val="0"/>
          <w:marBottom w:val="0"/>
          <w:divBdr>
            <w:top w:val="none" w:sz="0" w:space="0" w:color="auto"/>
            <w:left w:val="none" w:sz="0" w:space="0" w:color="auto"/>
            <w:bottom w:val="none" w:sz="0" w:space="0" w:color="auto"/>
            <w:right w:val="none" w:sz="0" w:space="0" w:color="auto"/>
          </w:divBdr>
        </w:div>
        <w:div w:id="1428887998">
          <w:marLeft w:val="0"/>
          <w:marRight w:val="0"/>
          <w:marTop w:val="0"/>
          <w:marBottom w:val="0"/>
          <w:divBdr>
            <w:top w:val="none" w:sz="0" w:space="0" w:color="auto"/>
            <w:left w:val="none" w:sz="0" w:space="0" w:color="auto"/>
            <w:bottom w:val="none" w:sz="0" w:space="0" w:color="auto"/>
            <w:right w:val="none" w:sz="0" w:space="0" w:color="auto"/>
          </w:divBdr>
        </w:div>
        <w:div w:id="1770733066">
          <w:marLeft w:val="0"/>
          <w:marRight w:val="0"/>
          <w:marTop w:val="0"/>
          <w:marBottom w:val="0"/>
          <w:divBdr>
            <w:top w:val="none" w:sz="0" w:space="0" w:color="auto"/>
            <w:left w:val="none" w:sz="0" w:space="0" w:color="auto"/>
            <w:bottom w:val="none" w:sz="0" w:space="0" w:color="auto"/>
            <w:right w:val="none" w:sz="0" w:space="0" w:color="auto"/>
          </w:divBdr>
        </w:div>
        <w:div w:id="2142190137">
          <w:marLeft w:val="0"/>
          <w:marRight w:val="0"/>
          <w:marTop w:val="0"/>
          <w:marBottom w:val="0"/>
          <w:divBdr>
            <w:top w:val="none" w:sz="0" w:space="0" w:color="auto"/>
            <w:left w:val="none" w:sz="0" w:space="0" w:color="auto"/>
            <w:bottom w:val="none" w:sz="0" w:space="0" w:color="auto"/>
            <w:right w:val="none" w:sz="0" w:space="0" w:color="auto"/>
          </w:divBdr>
        </w:div>
      </w:divsChild>
    </w:div>
    <w:div w:id="1580797491">
      <w:bodyDiv w:val="1"/>
      <w:marLeft w:val="0"/>
      <w:marRight w:val="0"/>
      <w:marTop w:val="0"/>
      <w:marBottom w:val="0"/>
      <w:divBdr>
        <w:top w:val="none" w:sz="0" w:space="0" w:color="auto"/>
        <w:left w:val="none" w:sz="0" w:space="0" w:color="auto"/>
        <w:bottom w:val="none" w:sz="0" w:space="0" w:color="auto"/>
        <w:right w:val="none" w:sz="0" w:space="0" w:color="auto"/>
      </w:divBdr>
    </w:div>
    <w:div w:id="1637644464">
      <w:bodyDiv w:val="1"/>
      <w:marLeft w:val="0"/>
      <w:marRight w:val="0"/>
      <w:marTop w:val="0"/>
      <w:marBottom w:val="0"/>
      <w:divBdr>
        <w:top w:val="none" w:sz="0" w:space="0" w:color="auto"/>
        <w:left w:val="none" w:sz="0" w:space="0" w:color="auto"/>
        <w:bottom w:val="none" w:sz="0" w:space="0" w:color="auto"/>
        <w:right w:val="none" w:sz="0" w:space="0" w:color="auto"/>
      </w:divBdr>
    </w:div>
    <w:div w:id="1639801728">
      <w:bodyDiv w:val="1"/>
      <w:marLeft w:val="0"/>
      <w:marRight w:val="0"/>
      <w:marTop w:val="0"/>
      <w:marBottom w:val="0"/>
      <w:divBdr>
        <w:top w:val="none" w:sz="0" w:space="0" w:color="auto"/>
        <w:left w:val="none" w:sz="0" w:space="0" w:color="auto"/>
        <w:bottom w:val="none" w:sz="0" w:space="0" w:color="auto"/>
        <w:right w:val="none" w:sz="0" w:space="0" w:color="auto"/>
      </w:divBdr>
    </w:div>
    <w:div w:id="1821114806">
      <w:bodyDiv w:val="1"/>
      <w:marLeft w:val="0"/>
      <w:marRight w:val="0"/>
      <w:marTop w:val="0"/>
      <w:marBottom w:val="0"/>
      <w:divBdr>
        <w:top w:val="none" w:sz="0" w:space="0" w:color="auto"/>
        <w:left w:val="none" w:sz="0" w:space="0" w:color="auto"/>
        <w:bottom w:val="none" w:sz="0" w:space="0" w:color="auto"/>
        <w:right w:val="none" w:sz="0" w:space="0" w:color="auto"/>
      </w:divBdr>
    </w:div>
    <w:div w:id="1842814710">
      <w:bodyDiv w:val="1"/>
      <w:marLeft w:val="0"/>
      <w:marRight w:val="0"/>
      <w:marTop w:val="0"/>
      <w:marBottom w:val="0"/>
      <w:divBdr>
        <w:top w:val="none" w:sz="0" w:space="0" w:color="auto"/>
        <w:left w:val="none" w:sz="0" w:space="0" w:color="auto"/>
        <w:bottom w:val="none" w:sz="0" w:space="0" w:color="auto"/>
        <w:right w:val="none" w:sz="0" w:space="0" w:color="auto"/>
      </w:divBdr>
      <w:divsChild>
        <w:div w:id="665404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2B28FB599B094C90D3062BABCA20F7" ma:contentTypeVersion="15" ma:contentTypeDescription="Opprett et nytt dokument." ma:contentTypeScope="" ma:versionID="7b2cddc2dedb8c9f3f79a72bca5fd835">
  <xsd:schema xmlns:xsd="http://www.w3.org/2001/XMLSchema" xmlns:xs="http://www.w3.org/2001/XMLSchema" xmlns:p="http://schemas.microsoft.com/office/2006/metadata/properties" xmlns:ns2="5a0d585c-d6d8-4a02-b2f9-7dc89871a535" xmlns:ns3="8f877dd0-0ce3-495a-b4e8-341361bd3db1" targetNamespace="http://schemas.microsoft.com/office/2006/metadata/properties" ma:root="true" ma:fieldsID="edf029e9e97ee6a00a1be88285b0bdfd" ns2:_="" ns3:_="">
    <xsd:import namespace="5a0d585c-d6d8-4a02-b2f9-7dc89871a535"/>
    <xsd:import namespace="8f877dd0-0ce3-495a-b4e8-341361bd3d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d585c-d6d8-4a02-b2f9-7dc89871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f8c4daa-c678-4442-815b-890ceee98b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77dd0-0ce3-495a-b4e8-341361bd3db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6ab39039-3ab9-411f-b318-d97dfc478b41}" ma:internalName="TaxCatchAll" ma:showField="CatchAllData" ma:web="8f877dd0-0ce3-495a-b4e8-341361bd3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0d585c-d6d8-4a02-b2f9-7dc89871a535">
      <Terms xmlns="http://schemas.microsoft.com/office/infopath/2007/PartnerControls"/>
    </lcf76f155ced4ddcb4097134ff3c332f>
    <TaxCatchAll xmlns="8f877dd0-0ce3-495a-b4e8-341361bd3db1" xsi:nil="true"/>
  </documentManagement>
</p:properties>
</file>

<file path=customXml/itemProps1.xml><?xml version="1.0" encoding="utf-8"?>
<ds:datastoreItem xmlns:ds="http://schemas.openxmlformats.org/officeDocument/2006/customXml" ds:itemID="{C668441F-C99E-429A-B705-8BE89422C225}">
  <ds:schemaRefs>
    <ds:schemaRef ds:uri="http://schemas.microsoft.com/sharepoint/v3/contenttype/forms"/>
  </ds:schemaRefs>
</ds:datastoreItem>
</file>

<file path=customXml/itemProps2.xml><?xml version="1.0" encoding="utf-8"?>
<ds:datastoreItem xmlns:ds="http://schemas.openxmlformats.org/officeDocument/2006/customXml" ds:itemID="{0C396E0E-55F9-4600-ACFF-10BC5013F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d585c-d6d8-4a02-b2f9-7dc89871a535"/>
    <ds:schemaRef ds:uri="8f877dd0-0ce3-495a-b4e8-341361bd3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693E2-8892-43D4-B63D-762F90F6BBE5}">
  <ds:schemaRefs>
    <ds:schemaRef ds:uri="http://schemas.microsoft.com/office/2006/metadata/properties"/>
    <ds:schemaRef ds:uri="http://schemas.microsoft.com/office/infopath/2007/PartnerControls"/>
    <ds:schemaRef ds:uri="5a0d585c-d6d8-4a02-b2f9-7dc89871a535"/>
    <ds:schemaRef ds:uri="8f877dd0-0ce3-495a-b4e8-341361bd3d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4976</Characters>
  <Application>Microsoft Office Word</Application>
  <DocSecurity>0</DocSecurity>
  <Lines>41</Lines>
  <Paragraphs>11</Paragraphs>
  <ScaleCrop>false</ScaleCrop>
  <Company/>
  <LinksUpToDate>false</LinksUpToDate>
  <CharactersWithSpaces>5903</CharactersWithSpaces>
  <SharedDoc>false</SharedDoc>
  <HLinks>
    <vt:vector size="6" baseType="variant">
      <vt:variant>
        <vt:i4>7733288</vt:i4>
      </vt:variant>
      <vt:variant>
        <vt:i4>0</vt:i4>
      </vt:variant>
      <vt:variant>
        <vt:i4>0</vt:i4>
      </vt:variant>
      <vt:variant>
        <vt:i4>5</vt:i4>
      </vt:variant>
      <vt:variant>
        <vt:lpwstr>https://www.unicef.no/vart-arbeid/norge/oppvekst/kommuneanalysen/sokemotor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Anne-Mali Thyrum</dc:creator>
  <cp:keywords/>
  <dc:description/>
  <cp:lastModifiedBy>Anne-Mali Thyrum</cp:lastModifiedBy>
  <cp:revision>2</cp:revision>
  <dcterms:created xsi:type="dcterms:W3CDTF">2024-09-09T08:44:00Z</dcterms:created>
  <dcterms:modified xsi:type="dcterms:W3CDTF">2024-09-09T08:44:00Z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0x010100C52B28FB599B094C90D3062BABCA20F7</vt:lpwstr>
  </property>
  <property fmtid="{D5CDD505-2E9C-101B-9397-08002B2CF9AE}" pid="3" name="MediaServiceImageTags">
    <vt:lpwstr/>
  </property>
</Properties>
</file>